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hint="eastAsia" w:ascii="宋体" w:hAnsi="宋体" w:cs="宋体"/>
          <w:b/>
          <w:sz w:val="28"/>
          <w:szCs w:val="28"/>
        </w:rPr>
      </w:pPr>
      <w:r>
        <w:rPr>
          <w:rFonts w:hint="eastAsia" w:ascii="宋体" w:hAnsi="宋体" w:cs="宋体"/>
          <w:b/>
          <w:sz w:val="28"/>
          <w:szCs w:val="28"/>
        </w:rPr>
        <w:t>市本级医疗单位设备采购项目（标段五）采购内容及要求</w:t>
      </w:r>
    </w:p>
    <w:p>
      <w:pPr>
        <w:numPr>
          <w:ilvl w:val="0"/>
          <w:numId w:val="1"/>
        </w:numPr>
        <w:spacing w:line="360" w:lineRule="auto"/>
        <w:outlineLvl w:val="1"/>
        <w:rPr>
          <w:rFonts w:hint="eastAsia" w:ascii="宋体" w:hAnsi="宋体" w:cs="宋体"/>
          <w:b/>
          <w:szCs w:val="21"/>
        </w:rPr>
      </w:pPr>
      <w:bookmarkStart w:id="0" w:name="_Toc6994"/>
      <w:bookmarkStart w:id="1" w:name="_Toc42695652"/>
      <w:r>
        <w:rPr>
          <w:rFonts w:hint="eastAsia" w:ascii="宋体" w:hAnsi="宋体" w:cs="宋体"/>
          <w:b/>
          <w:szCs w:val="21"/>
        </w:rPr>
        <w:t>采购内容</w:t>
      </w:r>
      <w:bookmarkEnd w:id="0"/>
      <w:bookmarkEnd w:id="1"/>
    </w:p>
    <w:tbl>
      <w:tblPr>
        <w:tblStyle w:val="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165"/>
        <w:gridCol w:w="975"/>
        <w:gridCol w:w="1230"/>
        <w:gridCol w:w="1350"/>
        <w:gridCol w:w="126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标项</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采购内容</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数量</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单位</w:t>
            </w:r>
          </w:p>
        </w:tc>
        <w:tc>
          <w:tcPr>
            <w:tcW w:w="1350" w:type="dxa"/>
            <w:noWrap w:val="0"/>
            <w:vAlign w:val="center"/>
          </w:tcPr>
          <w:p>
            <w:pPr>
              <w:widowControl/>
              <w:snapToGrid w:val="0"/>
              <w:spacing w:line="336" w:lineRule="auto"/>
              <w:jc w:val="center"/>
              <w:rPr>
                <w:rFonts w:hint="eastAsia" w:ascii="宋体" w:hAnsi="宋体" w:cs="宋体"/>
                <w:kern w:val="0"/>
                <w:szCs w:val="21"/>
              </w:rPr>
            </w:pPr>
            <w:r>
              <w:rPr>
                <w:rFonts w:hint="eastAsia" w:ascii="宋体" w:hAnsi="宋体" w:cs="宋体"/>
                <w:kern w:val="0"/>
                <w:szCs w:val="21"/>
              </w:rPr>
              <w:t>预算金额</w:t>
            </w:r>
          </w:p>
        </w:tc>
        <w:tc>
          <w:tcPr>
            <w:tcW w:w="1260" w:type="dxa"/>
            <w:noWrap w:val="0"/>
            <w:vAlign w:val="center"/>
          </w:tcPr>
          <w:p>
            <w:pPr>
              <w:widowControl/>
              <w:spacing w:line="336" w:lineRule="auto"/>
              <w:jc w:val="center"/>
              <w:rPr>
                <w:rFonts w:hint="eastAsia" w:ascii="宋体" w:hAnsi="宋体" w:cs="宋体"/>
                <w:kern w:val="0"/>
                <w:szCs w:val="21"/>
              </w:rPr>
            </w:pPr>
            <w:r>
              <w:rPr>
                <w:rFonts w:hint="eastAsia" w:ascii="宋体" w:hAnsi="宋体" w:cs="宋体"/>
                <w:kern w:val="0"/>
                <w:szCs w:val="21"/>
              </w:rPr>
              <w:t>最高限价</w:t>
            </w:r>
          </w:p>
        </w:tc>
        <w:tc>
          <w:tcPr>
            <w:tcW w:w="968" w:type="dxa"/>
            <w:noWrap w:val="0"/>
            <w:vAlign w:val="center"/>
          </w:tcPr>
          <w:p>
            <w:pPr>
              <w:widowControl/>
              <w:spacing w:line="336"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0" w:type="dxa"/>
            <w:tcBorders>
              <w:top w:val="single" w:color="auto" w:sz="4" w:space="0"/>
              <w:left w:val="single" w:color="auto" w:sz="4" w:space="0"/>
              <w:right w:val="single" w:color="auto" w:sz="4" w:space="0"/>
            </w:tcBorders>
            <w:noWrap w:val="0"/>
            <w:vAlign w:val="center"/>
          </w:tcPr>
          <w:p>
            <w:pPr>
              <w:snapToGrid w:val="0"/>
              <w:spacing w:line="336" w:lineRule="auto"/>
              <w:jc w:val="center"/>
              <w:rPr>
                <w:rFonts w:hint="eastAsia" w:ascii="宋体" w:hAnsi="宋体" w:cs="宋体"/>
                <w:kern w:val="0"/>
                <w:szCs w:val="21"/>
              </w:rPr>
            </w:pPr>
            <w:r>
              <w:rPr>
                <w:rFonts w:hint="eastAsia" w:ascii="宋体" w:hAnsi="宋体" w:cs="宋体"/>
                <w:kern w:val="0"/>
                <w:szCs w:val="21"/>
              </w:rPr>
              <w:t>1</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ascii="宋体" w:hAnsi="宋体" w:cs="宋体"/>
                <w:szCs w:val="21"/>
              </w:rPr>
            </w:pPr>
            <w:r>
              <w:rPr>
                <w:rFonts w:hint="eastAsia"/>
                <w:szCs w:val="21"/>
              </w:rPr>
              <w:t>移动DR</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cs="宋体"/>
                <w:szCs w:val="21"/>
              </w:rPr>
            </w:pPr>
            <w:r>
              <w:rPr>
                <w:rFonts w:hint="eastAsia" w:ascii="宋体" w:hAnsi="宋体" w:cs="宋体"/>
                <w:szCs w:val="21"/>
              </w:rPr>
              <w:t>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6" w:lineRule="auto"/>
              <w:jc w:val="center"/>
              <w:rPr>
                <w:rFonts w:hint="eastAsia" w:ascii="宋体" w:hAnsi="宋体" w:cs="宋体"/>
                <w:szCs w:val="21"/>
              </w:rPr>
            </w:pPr>
            <w:r>
              <w:rPr>
                <w:rFonts w:hint="eastAsia" w:ascii="宋体" w:hAnsi="宋体" w:cs="宋体"/>
                <w:szCs w:val="21"/>
              </w:rPr>
              <w:t>台</w:t>
            </w:r>
          </w:p>
        </w:tc>
        <w:tc>
          <w:tcPr>
            <w:tcW w:w="1350" w:type="dxa"/>
            <w:noWrap w:val="0"/>
            <w:vAlign w:val="center"/>
          </w:tcPr>
          <w:p>
            <w:pPr>
              <w:snapToGrid w:val="0"/>
              <w:spacing w:line="336" w:lineRule="auto"/>
              <w:jc w:val="center"/>
              <w:rPr>
                <w:rFonts w:ascii="宋体" w:hAnsi="宋体" w:cs="宋体"/>
                <w:szCs w:val="21"/>
              </w:rPr>
            </w:pPr>
            <w:r>
              <w:rPr>
                <w:rFonts w:hint="eastAsia" w:ascii="宋体" w:hAnsi="宋体" w:cs="宋体"/>
                <w:szCs w:val="21"/>
              </w:rPr>
              <w:t>100万元</w:t>
            </w:r>
          </w:p>
        </w:tc>
        <w:tc>
          <w:tcPr>
            <w:tcW w:w="1260" w:type="dxa"/>
            <w:noWrap w:val="0"/>
            <w:vAlign w:val="center"/>
          </w:tcPr>
          <w:p>
            <w:pPr>
              <w:snapToGrid w:val="0"/>
              <w:spacing w:line="336" w:lineRule="auto"/>
              <w:jc w:val="center"/>
              <w:rPr>
                <w:rFonts w:ascii="宋体" w:hAnsi="宋体" w:cs="宋体"/>
                <w:szCs w:val="21"/>
              </w:rPr>
            </w:pPr>
            <w:r>
              <w:rPr>
                <w:rFonts w:hint="eastAsia" w:ascii="宋体" w:hAnsi="宋体" w:cs="宋体"/>
                <w:szCs w:val="21"/>
              </w:rPr>
              <w:t>100万元</w:t>
            </w:r>
          </w:p>
        </w:tc>
        <w:tc>
          <w:tcPr>
            <w:tcW w:w="968" w:type="dxa"/>
            <w:noWrap w:val="0"/>
            <w:vAlign w:val="center"/>
          </w:tcPr>
          <w:p>
            <w:pPr>
              <w:snapToGrid w:val="0"/>
              <w:spacing w:line="336" w:lineRule="auto"/>
              <w:jc w:val="center"/>
              <w:rPr>
                <w:rFonts w:hint="eastAsia" w:ascii="宋体" w:hAnsi="宋体" w:cs="宋体"/>
                <w:szCs w:val="21"/>
              </w:rPr>
            </w:pPr>
          </w:p>
        </w:tc>
      </w:tr>
    </w:tbl>
    <w:p>
      <w:pPr>
        <w:numPr>
          <w:ilvl w:val="0"/>
          <w:numId w:val="1"/>
        </w:numPr>
        <w:spacing w:line="360" w:lineRule="auto"/>
        <w:outlineLvl w:val="1"/>
        <w:rPr>
          <w:rFonts w:hint="eastAsia" w:ascii="宋体" w:hAnsi="宋体" w:cs="宋体"/>
          <w:b/>
          <w:szCs w:val="21"/>
        </w:rPr>
      </w:pPr>
      <w:bookmarkStart w:id="2" w:name="_Toc31995"/>
      <w:bookmarkStart w:id="3" w:name="_Toc42695653"/>
      <w:r>
        <w:rPr>
          <w:rFonts w:hint="eastAsia" w:ascii="宋体" w:hAnsi="宋体" w:cs="宋体"/>
          <w:b/>
          <w:szCs w:val="21"/>
        </w:rPr>
        <w:t>技术参数</w:t>
      </w:r>
      <w:bookmarkEnd w:id="2"/>
      <w:bookmarkEnd w:id="3"/>
    </w:p>
    <w:tbl>
      <w:tblPr>
        <w:tblStyle w:val="3"/>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862"/>
        <w:gridCol w:w="44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bookmarkStart w:id="4" w:name="_Toc30131"/>
            <w:bookmarkStart w:id="5" w:name="_Toc42695654"/>
            <w:r>
              <w:rPr>
                <w:rFonts w:hint="eastAsia" w:ascii="宋体" w:hAnsi="宋体" w:cs="宋体"/>
                <w:kern w:val="0"/>
                <w:szCs w:val="21"/>
              </w:rPr>
              <w:t>序号</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招标内容</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招标要求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一</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设备名称</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kern w:val="0"/>
                <w:szCs w:val="21"/>
              </w:rPr>
            </w:pPr>
            <w:r>
              <w:rPr>
                <w:rFonts w:hint="eastAsia" w:ascii="宋体" w:hAnsi="宋体" w:cs="宋体"/>
                <w:kern w:val="0"/>
                <w:szCs w:val="21"/>
              </w:rPr>
              <w:t>移动DR</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二</w:t>
            </w:r>
          </w:p>
        </w:tc>
        <w:tc>
          <w:tcPr>
            <w:tcW w:w="28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cs="宋体"/>
                <w:kern w:val="0"/>
                <w:szCs w:val="21"/>
              </w:rPr>
            </w:pPr>
            <w:r>
              <w:rPr>
                <w:rFonts w:hint="eastAsia" w:ascii="宋体" w:hAnsi="宋体" w:cs="宋体"/>
                <w:kern w:val="0"/>
                <w:szCs w:val="21"/>
              </w:rPr>
              <w:t>技术规格</w:t>
            </w:r>
          </w:p>
        </w:tc>
        <w:tc>
          <w:tcPr>
            <w:tcW w:w="44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cs="宋体"/>
                <w:kern w:val="0"/>
                <w:szCs w:val="21"/>
              </w:rPr>
            </w:pPr>
            <w:r>
              <w:rPr>
                <w:rFonts w:hint="eastAsia" w:ascii="宋体" w:hAnsi="宋体" w:cs="宋体"/>
                <w:kern w:val="0"/>
                <w:szCs w:val="21"/>
              </w:rPr>
              <w:t>参数及技术要求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高压发生器</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高压产生方式</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高频逆变式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1.2</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最大频率</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≥50kHz</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1.3</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最大功率</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≥50kW</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1.4</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最短曝光时间</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≤3.2mS</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1.5</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最大输出电压</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≥150kV</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1.6</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最大电流</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≥500mA</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1.7</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mAs</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≥500mAs</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1.8</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最大mAs下输出电压</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80kV @400mAs</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1.9</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解剖程序（A.P.R.）</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≥72种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1.10</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遥控曝光控制器</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两档式曝光手闸</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1.12</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曝光手闸</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1.13</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曝光手闸线长度</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≥10m</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1.14</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曝光指示灯</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X线球管</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阳极热容量</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≥300kHu</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2.2</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管套热容量</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≥1000kHu</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2.3</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阳极类型</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旋转阳极球管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2.4</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球管焦点</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≤0.6/1.2mm</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2.6</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阳极靶角</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束光器</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束光器旋转</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 ±90°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3.2</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距离尺</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3.3</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定位视野指示灯</w:t>
            </w:r>
          </w:p>
        </w:tc>
        <w:tc>
          <w:tcPr>
            <w:tcW w:w="44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主机运动控制键</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球管支撑臂</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结构</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旋转式可伸缩臂结构</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功能</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狭小病房内，不需移动主机可以做到左、右定位</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锁定方式</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电磁锁定</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多解锁开关</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 4处</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管球支架立柱旋转</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 ±280°</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管球沿支撑臂旋转</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 ±180°</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4.7</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管球沿水平轴旋转</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向外≥90°、向内≥20°</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4.8</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最大垂直高度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≥186cm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4.9</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最大水平伸展范围（在最大垂直高度拍摄时）</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≥120cm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主机系统</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主机移动方式</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电动移动，并具有电池剩余电量指示</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移动速度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≥5km/h</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球管侧控制主机运动</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碰撞感受器</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最大爬坡角度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 xml:space="preserve"> ≥ 7°</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曝光电力供应</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电池，要求与主机运动电池相互独立，并具有电池剩余电量指示</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5.7</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主机宽度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≤68cm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5.8</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主机高度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≤185cm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X线探测器（两套）</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探测器类型</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非晶态硅，要求平板探测器采用技术领先的为多家国际著名DR设备生产厂商普遍认可和选用的品牌，原装进口</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探测器面积</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尺寸≥43cm×35cm，尺寸≤28cm×35cm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像素矩阵</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像素矩阵≥2,800×3,400 ，像素矩阵≥2,800×2,170</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szCs w:val="21"/>
              </w:rPr>
              <w:t>▲</w:t>
            </w:r>
            <w:r>
              <w:rPr>
                <w:rFonts w:hint="eastAsia" w:ascii="宋体" w:hAnsi="宋体" w:cs="宋体"/>
                <w:kern w:val="0"/>
                <w:szCs w:val="21"/>
              </w:rPr>
              <w:t>6.4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像素大小</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≤125μm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采集浓度分辨率</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≥16bit</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DQE</w:t>
            </w:r>
            <w:r>
              <w:rPr>
                <w:rFonts w:hint="eastAsia" w:ascii="宋体" w:hAnsi="宋体" w:cs="宋体"/>
                <w:kern w:val="0"/>
                <w:szCs w:val="21"/>
                <w:lang w:val="zh-CN"/>
              </w:rPr>
              <w:t>值</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≥60%@1lp/mm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6.7</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探测器重量</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重量≤3.5kg，重量≤2.3kg</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szCs w:val="21"/>
              </w:rPr>
              <w:t>▲</w:t>
            </w:r>
            <w:r>
              <w:rPr>
                <w:rFonts w:hint="eastAsia" w:ascii="宋体" w:hAnsi="宋体" w:cs="宋体"/>
                <w:kern w:val="0"/>
                <w:szCs w:val="21"/>
              </w:rPr>
              <w:t>6.8</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空间分辨率</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≥4.0线对/毫米，能全面满足临床诊断需要</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6.9</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探测器信号传输</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无线</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6.10</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探测器冷却</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自然冷却</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探测器厚度</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≤15 mm</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移动性</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探测器具有可手持托盘，保证移动使用过程的安全</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平板探测器自动探测技术</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X射线自动探测技术：平板探测器可自动探测X射线，可以与其他X射线设备搭配使用，不存在与高压发生器之间的通讯连接，必要时可以应用到任何X光机。</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6.14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供电模式</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支持电池和接触式电缆两种供电模式</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操作控制处理系统</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显示及操作</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液晶触摸屏，可录入病人信息、设定X线曝光参数，并进行图像处理</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显示屏尺寸</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≥12吋</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主机硬盘</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≥40G</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图像预览时间</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≤3S</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图像存储</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≥2000幅</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7.6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操作系统语言</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中文</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软件功能</w:t>
            </w:r>
          </w:p>
        </w:tc>
        <w:tc>
          <w:tcPr>
            <w:tcW w:w="4499" w:type="dxa"/>
            <w:noWrap w:val="0"/>
            <w:vAlign w:val="center"/>
          </w:tcPr>
          <w:p>
            <w:pPr>
              <w:adjustRightInd w:val="0"/>
              <w:snapToGrid w:val="0"/>
              <w:rPr>
                <w:rFonts w:hint="eastAsia" w:ascii="宋体" w:hAnsi="宋体" w:cs="宋体"/>
                <w:kern w:val="0"/>
                <w:szCs w:val="21"/>
              </w:rPr>
            </w:pPr>
            <w:bookmarkStart w:id="7" w:name="_GoBack"/>
            <w:bookmarkEnd w:id="7"/>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患者登记</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从HIS/RIS获得患者信息与手动登记患者信息</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自动曝光区域选定</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图像边缘强化处理</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图像滤波选择</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动态范围调整</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亮度、对比度调整</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8.7</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图像放大显示</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8.8</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旋转、镜象显示</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8.9</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显示图像标记</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8.10</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打印编辑</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9</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DICOM网络支持</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9.1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DICOM Send</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9.2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DICOM Print</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9.3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DICOM Worklist</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具有</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其他</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免费</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10．1</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卖方应负责设备安装调试，整机保修3年</w:t>
            </w:r>
          </w:p>
        </w:tc>
        <w:tc>
          <w:tcPr>
            <w:tcW w:w="4499" w:type="dxa"/>
            <w:noWrap w:val="0"/>
            <w:vAlign w:val="bottom"/>
          </w:tcPr>
          <w:p>
            <w:pPr>
              <w:adjustRightInd w:val="0"/>
              <w:snapToGrid w:val="0"/>
              <w:rPr>
                <w:rFonts w:hint="eastAsia" w:ascii="宋体" w:hAnsi="宋体" w:cs="宋体"/>
                <w:kern w:val="0"/>
                <w:szCs w:val="21"/>
              </w:rPr>
            </w:pPr>
            <w:r>
              <w:rPr>
                <w:rFonts w:hint="eastAsia" w:ascii="宋体" w:hAnsi="宋体" w:cs="宋体"/>
                <w:kern w:val="0"/>
                <w:szCs w:val="21"/>
              </w:rPr>
              <w:t>提供</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10.2</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提供医疗器械注册证和商品安全质量许可证。</w:t>
            </w:r>
          </w:p>
        </w:tc>
        <w:tc>
          <w:tcPr>
            <w:tcW w:w="4499" w:type="dxa"/>
            <w:noWrap w:val="0"/>
            <w:vAlign w:val="bottom"/>
          </w:tcPr>
          <w:p>
            <w:pPr>
              <w:adjustRightInd w:val="0"/>
              <w:snapToGrid w:val="0"/>
              <w:rPr>
                <w:rFonts w:hint="eastAsia" w:ascii="宋体" w:hAnsi="宋体" w:cs="宋体"/>
                <w:kern w:val="0"/>
                <w:szCs w:val="21"/>
              </w:rPr>
            </w:pPr>
            <w:r>
              <w:rPr>
                <w:rFonts w:hint="eastAsia" w:ascii="宋体" w:hAnsi="宋体" w:cs="宋体"/>
                <w:kern w:val="0"/>
                <w:szCs w:val="21"/>
              </w:rPr>
              <w:t>提供</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szCs w:val="21"/>
              </w:rPr>
              <w:t>▲</w:t>
            </w:r>
            <w:r>
              <w:rPr>
                <w:rFonts w:hint="eastAsia" w:ascii="宋体" w:hAnsi="宋体" w:cs="宋体"/>
                <w:kern w:val="0"/>
                <w:szCs w:val="21"/>
              </w:rPr>
              <w:t>10.3</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提供投标设备的平板探测器生产厂商的销售授权书及售后服务承诺书</w:t>
            </w:r>
          </w:p>
        </w:tc>
        <w:tc>
          <w:tcPr>
            <w:tcW w:w="4499" w:type="dxa"/>
            <w:noWrap w:val="0"/>
            <w:vAlign w:val="bottom"/>
          </w:tcPr>
          <w:p>
            <w:pPr>
              <w:adjustRightInd w:val="0"/>
              <w:snapToGrid w:val="0"/>
              <w:rPr>
                <w:rFonts w:hint="eastAsia" w:ascii="宋体" w:hAnsi="宋体" w:cs="宋体"/>
                <w:kern w:val="0"/>
                <w:szCs w:val="21"/>
              </w:rPr>
            </w:pPr>
            <w:r>
              <w:rPr>
                <w:rFonts w:hint="eastAsia" w:ascii="宋体" w:hAnsi="宋体" w:cs="宋体"/>
                <w:kern w:val="0"/>
                <w:szCs w:val="21"/>
              </w:rPr>
              <w:t>提供</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10.4</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用户操作手册和维修手册</w:t>
            </w:r>
          </w:p>
        </w:tc>
        <w:tc>
          <w:tcPr>
            <w:tcW w:w="4499" w:type="dxa"/>
            <w:noWrap w:val="0"/>
            <w:vAlign w:val="bottom"/>
          </w:tcPr>
          <w:p>
            <w:pPr>
              <w:adjustRightInd w:val="0"/>
              <w:snapToGrid w:val="0"/>
              <w:rPr>
                <w:rFonts w:hint="eastAsia" w:ascii="宋体" w:hAnsi="宋体" w:cs="宋体"/>
                <w:kern w:val="0"/>
                <w:szCs w:val="21"/>
              </w:rPr>
            </w:pPr>
            <w:r>
              <w:rPr>
                <w:rFonts w:hint="eastAsia" w:ascii="宋体" w:hAnsi="宋体" w:cs="宋体"/>
                <w:kern w:val="0"/>
                <w:szCs w:val="21"/>
              </w:rPr>
              <w:t>提供</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10.5</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为确保成像质量和设备稳定运行，设备的操作控制软件必须为探测器生产厂商原厂原配，并提供详细设备配置清单</w:t>
            </w:r>
          </w:p>
        </w:tc>
        <w:tc>
          <w:tcPr>
            <w:tcW w:w="4499"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提供</w:t>
            </w:r>
          </w:p>
        </w:tc>
        <w:tc>
          <w:tcPr>
            <w:tcW w:w="992" w:type="dxa"/>
            <w:noWrap w:val="0"/>
            <w:vAlign w:val="center"/>
          </w:tcPr>
          <w:p>
            <w:pPr>
              <w:adjustRightInd w:val="0"/>
              <w:snapToGrid w:val="0"/>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10.6</w:t>
            </w:r>
          </w:p>
        </w:tc>
        <w:tc>
          <w:tcPr>
            <w:tcW w:w="2862"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配置：铅衣两套、铅屏一块</w:t>
            </w:r>
          </w:p>
        </w:tc>
        <w:tc>
          <w:tcPr>
            <w:tcW w:w="4499" w:type="dxa"/>
            <w:noWrap w:val="0"/>
            <w:vAlign w:val="center"/>
          </w:tcPr>
          <w:p>
            <w:pPr>
              <w:adjustRightInd w:val="0"/>
              <w:snapToGrid w:val="0"/>
              <w:rPr>
                <w:rFonts w:hint="eastAsia" w:ascii="宋体" w:hAnsi="宋体" w:cs="宋体"/>
                <w:kern w:val="0"/>
                <w:szCs w:val="21"/>
              </w:rPr>
            </w:pPr>
          </w:p>
        </w:tc>
        <w:tc>
          <w:tcPr>
            <w:tcW w:w="992" w:type="dxa"/>
            <w:noWrap w:val="0"/>
            <w:vAlign w:val="center"/>
          </w:tcPr>
          <w:p>
            <w:pPr>
              <w:adjustRightInd w:val="0"/>
              <w:snapToGrid w:val="0"/>
              <w:rPr>
                <w:rFonts w:hint="eastAsia" w:ascii="宋体" w:hAnsi="宋体" w:cs="宋体"/>
                <w:kern w:val="0"/>
                <w:szCs w:val="21"/>
              </w:rPr>
            </w:pPr>
          </w:p>
        </w:tc>
      </w:tr>
    </w:tbl>
    <w:p>
      <w:pPr>
        <w:pStyle w:val="5"/>
        <w:spacing w:line="360" w:lineRule="auto"/>
        <w:ind w:firstLine="0" w:firstLineChars="0"/>
        <w:outlineLvl w:val="1"/>
        <w:rPr>
          <w:rFonts w:hint="eastAsia" w:ascii="宋体" w:hAnsi="宋体" w:eastAsia="宋体" w:cs="宋体"/>
          <w:b/>
          <w:sz w:val="21"/>
          <w:szCs w:val="21"/>
        </w:rPr>
      </w:pPr>
      <w:r>
        <w:rPr>
          <w:rFonts w:hint="eastAsia" w:ascii="宋体" w:hAnsi="宋体" w:eastAsia="宋体" w:cs="宋体"/>
          <w:b/>
          <w:sz w:val="21"/>
          <w:szCs w:val="21"/>
        </w:rPr>
        <w:t>三、商务条款</w:t>
      </w:r>
      <w:bookmarkEnd w:id="4"/>
      <w:bookmarkEnd w:id="5"/>
    </w:p>
    <w:p>
      <w:pPr>
        <w:pStyle w:val="6"/>
        <w:numPr>
          <w:ilvl w:val="0"/>
          <w:numId w:val="2"/>
        </w:numPr>
        <w:spacing w:line="360" w:lineRule="auto"/>
        <w:rPr>
          <w:rFonts w:hint="eastAsia"/>
          <w:color w:val="auto"/>
          <w:sz w:val="21"/>
          <w:szCs w:val="21"/>
        </w:rPr>
      </w:pPr>
      <w:r>
        <w:rPr>
          <w:rFonts w:hint="eastAsia"/>
          <w:color w:val="auto"/>
          <w:sz w:val="21"/>
          <w:szCs w:val="21"/>
        </w:rPr>
        <w:t>交货期：合同签订后30日历天内完成供货及安装。</w:t>
      </w:r>
    </w:p>
    <w:p>
      <w:pPr>
        <w:pStyle w:val="6"/>
        <w:numPr>
          <w:ilvl w:val="0"/>
          <w:numId w:val="2"/>
        </w:numPr>
        <w:spacing w:line="360" w:lineRule="auto"/>
        <w:rPr>
          <w:color w:val="auto"/>
          <w:sz w:val="21"/>
          <w:szCs w:val="21"/>
        </w:rPr>
      </w:pPr>
      <w:r>
        <w:rPr>
          <w:rFonts w:hint="eastAsia"/>
          <w:color w:val="auto"/>
          <w:sz w:val="21"/>
          <w:szCs w:val="21"/>
        </w:rPr>
        <w:t>质保期：3年。</w:t>
      </w:r>
    </w:p>
    <w:p>
      <w:pPr>
        <w:pStyle w:val="6"/>
        <w:spacing w:line="360" w:lineRule="auto"/>
        <w:ind w:left="420"/>
        <w:rPr>
          <w:color w:val="auto"/>
          <w:sz w:val="21"/>
          <w:szCs w:val="21"/>
        </w:rPr>
      </w:pPr>
      <w:r>
        <w:rPr>
          <w:rFonts w:hint="eastAsia"/>
          <w:color w:val="auto"/>
          <w:sz w:val="21"/>
          <w:szCs w:val="21"/>
        </w:rPr>
        <w:t>3、交货地点：采购方指定地点。</w:t>
      </w:r>
    </w:p>
    <w:p>
      <w:pPr>
        <w:pStyle w:val="6"/>
        <w:spacing w:line="360" w:lineRule="auto"/>
        <w:ind w:left="420"/>
        <w:rPr>
          <w:rFonts w:hint="eastAsia"/>
          <w:color w:val="auto"/>
          <w:sz w:val="21"/>
          <w:szCs w:val="21"/>
        </w:rPr>
      </w:pPr>
      <w:r>
        <w:rPr>
          <w:rFonts w:hint="eastAsia"/>
          <w:color w:val="auto"/>
          <w:sz w:val="21"/>
          <w:szCs w:val="21"/>
        </w:rPr>
        <w:t>4、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6"/>
        <w:spacing w:line="360" w:lineRule="auto"/>
        <w:ind w:left="420"/>
        <w:rPr>
          <w:rFonts w:hint="eastAsia"/>
          <w:color w:val="auto"/>
          <w:sz w:val="21"/>
          <w:szCs w:val="21"/>
        </w:rPr>
      </w:pPr>
      <w:r>
        <w:rPr>
          <w:rFonts w:hint="eastAsia"/>
          <w:color w:val="auto"/>
          <w:sz w:val="21"/>
          <w:szCs w:val="21"/>
        </w:rPr>
        <w:t xml:space="preserve">5、安装标准：有安装经验的工程师负责安装；符合国家有关安全技术规范和技术标准。 </w:t>
      </w:r>
    </w:p>
    <w:p>
      <w:pPr>
        <w:pStyle w:val="6"/>
        <w:spacing w:line="360" w:lineRule="auto"/>
        <w:ind w:firstLine="420" w:firstLineChars="200"/>
        <w:rPr>
          <w:rFonts w:hint="eastAsia"/>
          <w:color w:val="auto"/>
          <w:sz w:val="21"/>
          <w:szCs w:val="21"/>
          <w:lang w:val="en-GB"/>
        </w:rPr>
      </w:pPr>
      <w:r>
        <w:rPr>
          <w:rFonts w:hint="eastAsia"/>
          <w:color w:val="auto"/>
          <w:sz w:val="21"/>
          <w:szCs w:val="21"/>
        </w:rPr>
        <w:t>6、验收标准：应与产品原始样本技术数据及标书技术文件一致，符合国家有关技术规范和技术标准。</w:t>
      </w:r>
    </w:p>
    <w:p>
      <w:pPr>
        <w:pStyle w:val="5"/>
        <w:spacing w:line="360" w:lineRule="auto"/>
        <w:ind w:firstLine="0" w:firstLineChars="0"/>
        <w:outlineLvl w:val="1"/>
        <w:rPr>
          <w:rFonts w:hint="eastAsia" w:ascii="宋体" w:hAnsi="宋体" w:eastAsia="宋体" w:cs="宋体"/>
          <w:b/>
          <w:sz w:val="21"/>
          <w:szCs w:val="21"/>
          <w:lang w:val="en-GB"/>
        </w:rPr>
      </w:pPr>
      <w:bookmarkStart w:id="6" w:name="_Toc42695655"/>
      <w:r>
        <w:rPr>
          <w:rFonts w:hint="eastAsia" w:ascii="宋体" w:hAnsi="宋体" w:eastAsia="宋体" w:cs="宋体"/>
          <w:b/>
          <w:sz w:val="21"/>
          <w:szCs w:val="21"/>
          <w:lang w:val="en-GB"/>
        </w:rPr>
        <w:t>四、售后服务</w:t>
      </w:r>
      <w:bookmarkEnd w:id="6"/>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1、设备生产厂家或国内总代在浙江省有售后服务机构，有专职工程师提供技术及售后服务：保修期外仍有厂方或代理方派专职工程师对仪器进行维护和维修。 </w:t>
      </w:r>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2、维修响应时间2小时，24小时内到达用户现场进行维修，3个工作日内未修复的须无偿提供备用设备。 </w:t>
      </w:r>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3、设备安装后免费提供厂方操作和维修培训至</w:t>
      </w:r>
      <w:r>
        <w:rPr>
          <w:rFonts w:hint="eastAsia" w:hAnsi="宋体"/>
          <w:color w:val="auto"/>
          <w:sz w:val="21"/>
          <w:szCs w:val="21"/>
          <w:lang w:val="en-GB" w:eastAsia="zh-CN"/>
        </w:rPr>
        <w:t>医院</w:t>
      </w:r>
      <w:r>
        <w:rPr>
          <w:rFonts w:hint="eastAsia" w:hAnsi="宋体"/>
          <w:color w:val="auto"/>
          <w:sz w:val="21"/>
          <w:szCs w:val="21"/>
          <w:lang w:val="en-GB"/>
        </w:rPr>
        <w:t xml:space="preserve">满意为止。  </w:t>
      </w:r>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 xml:space="preserve">4、提供用户中文操作手册和维修手册，提供厂家相应data sheet等相关资料，提供免费软件升级，并及时提供设备新功能和临床应用的资料。 </w:t>
      </w:r>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5、提供至少每年2次的上门定期回访和进行相关维护。</w:t>
      </w:r>
    </w:p>
    <w:p>
      <w:pPr>
        <w:pStyle w:val="6"/>
        <w:spacing w:line="360" w:lineRule="auto"/>
        <w:ind w:firstLine="420" w:firstLineChars="200"/>
        <w:rPr>
          <w:rFonts w:hint="eastAsia" w:hAnsi="宋体"/>
          <w:color w:val="auto"/>
          <w:sz w:val="21"/>
          <w:szCs w:val="21"/>
          <w:lang w:val="en-GB"/>
        </w:rPr>
      </w:pPr>
      <w:r>
        <w:rPr>
          <w:rFonts w:hint="eastAsia" w:hAnsi="宋体"/>
          <w:color w:val="auto"/>
          <w:sz w:val="21"/>
          <w:szCs w:val="21"/>
          <w:lang w:val="en-GB"/>
        </w:rPr>
        <w:t>6、销售方在</w:t>
      </w:r>
      <w:r>
        <w:rPr>
          <w:rFonts w:hint="eastAsia"/>
          <w:color w:val="auto"/>
          <w:sz w:val="21"/>
          <w:szCs w:val="21"/>
        </w:rPr>
        <w:t>用户</w:t>
      </w:r>
      <w:r>
        <w:rPr>
          <w:rFonts w:hint="eastAsia" w:hAnsi="宋体"/>
          <w:color w:val="auto"/>
          <w:sz w:val="21"/>
          <w:szCs w:val="21"/>
          <w:lang w:val="en-GB"/>
        </w:rPr>
        <w:t>所在地区至少有2名以上常驻工作人员。</w:t>
      </w:r>
    </w:p>
    <w:p>
      <w:pPr>
        <w:pStyle w:val="6"/>
        <w:spacing w:line="360" w:lineRule="auto"/>
        <w:ind w:firstLine="420" w:firstLineChars="200"/>
        <w:rPr>
          <w:rFonts w:hint="eastAsia"/>
          <w:color w:val="auto"/>
          <w:sz w:val="21"/>
          <w:szCs w:val="21"/>
        </w:rPr>
      </w:pPr>
      <w:r>
        <w:rPr>
          <w:rFonts w:hint="eastAsia"/>
          <w:color w:val="auto"/>
          <w:sz w:val="21"/>
          <w:szCs w:val="21"/>
        </w:rPr>
        <w:t>7</w:t>
      </w:r>
      <w:r>
        <w:rPr>
          <w:rFonts w:hint="eastAsia" w:hAnsi="宋体"/>
          <w:color w:val="auto"/>
          <w:sz w:val="21"/>
          <w:szCs w:val="21"/>
          <w:lang w:val="en-GB"/>
        </w:rPr>
        <w:t>、</w:t>
      </w:r>
      <w:r>
        <w:rPr>
          <w:rFonts w:hint="eastAsia"/>
          <w:color w:val="auto"/>
          <w:sz w:val="21"/>
          <w:szCs w:val="21"/>
        </w:rPr>
        <w:t>设备验收合格使用后保证供应用户零配件至少8年。</w:t>
      </w:r>
    </w:p>
    <w:p>
      <w:pPr>
        <w:pStyle w:val="6"/>
        <w:spacing w:line="360" w:lineRule="auto"/>
        <w:ind w:firstLine="420" w:firstLineChars="200"/>
        <w:rPr>
          <w:rFonts w:hint="eastAsia"/>
          <w:color w:val="auto"/>
          <w:sz w:val="21"/>
          <w:szCs w:val="21"/>
        </w:rPr>
      </w:pPr>
      <w:r>
        <w:rPr>
          <w:rFonts w:hint="eastAsia"/>
          <w:color w:val="auto"/>
          <w:sz w:val="21"/>
          <w:szCs w:val="21"/>
        </w:rPr>
        <w:t>8</w:t>
      </w:r>
      <w:r>
        <w:rPr>
          <w:rFonts w:hint="eastAsia" w:hAnsi="宋体"/>
          <w:color w:val="auto"/>
          <w:sz w:val="21"/>
          <w:szCs w:val="21"/>
          <w:lang w:val="en-GB"/>
        </w:rPr>
        <w:t>、</w:t>
      </w:r>
      <w:r>
        <w:rPr>
          <w:rFonts w:hint="eastAsia"/>
          <w:color w:val="auto"/>
          <w:sz w:val="21"/>
          <w:szCs w:val="21"/>
        </w:rPr>
        <w:t>投标人售后质保服务内容与生产厂家或国内总代售后质保服务内容不一致的，以生产厂家或国内总代的售后质保服务内容为准。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abstractNum w:abstractNumId="1">
    <w:nsid w:val="16917EC4"/>
    <w:multiLevelType w:val="multilevel"/>
    <w:tmpl w:val="16917EC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C0315"/>
    <w:rsid w:val="3B2C0315"/>
    <w:rsid w:val="40D8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qFormat/>
    <w:uiPriority w:val="0"/>
    <w:pPr>
      <w:adjustRightInd w:val="0"/>
      <w:spacing w:after="120" w:line="360" w:lineRule="auto"/>
      <w:ind w:firstLine="420"/>
      <w:textAlignment w:val="baseline"/>
    </w:pPr>
    <w:rPr>
      <w:rFonts w:ascii="Calibri" w:hAnsi="Calibri" w:eastAsia="楷体_GB2312"/>
      <w:b/>
      <w:bCs/>
      <w:spacing w:val="0"/>
      <w:kern w:val="0"/>
      <w:sz w:val="24"/>
      <w:szCs w:val="20"/>
      <w:lang w:eastAsia="en-US"/>
    </w:rPr>
  </w:style>
  <w:style w:type="paragraph" w:styleId="5">
    <w:name w:val="List Paragraph"/>
    <w:basedOn w:val="1"/>
    <w:qFormat/>
    <w:uiPriority w:val="34"/>
    <w:pPr>
      <w:ind w:firstLine="420" w:firstLineChars="200"/>
    </w:pPr>
    <w:rPr>
      <w:rFonts w:ascii="Calibri" w:hAnsi="Calibri" w:eastAsia="仿宋_GB2312"/>
      <w:sz w:val="28"/>
      <w:szCs w:val="22"/>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2020-07-06T01:48:00Z</dcterms:created>
  <dc:creator>成套工程吴世胜</dc:creator>
  <cp:lastModifiedBy>成套工程吴世胜</cp:lastModifiedBy>
  <dcterms:modified xsi:type="dcterms:W3CDTF">2020-07-07T05:56:53Z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