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00" w:lineRule="exact"/>
        <w:ind w:left="425"/>
        <w:outlineLvl w:val="1"/>
        <w:rPr>
          <w:rFonts w:ascii="仿宋_GB2312" w:hAnsi="Times New Roman" w:eastAsia="仿宋_GB2312" w:cs="宋体"/>
          <w:b/>
          <w:bCs/>
          <w:sz w:val="28"/>
          <w:szCs w:val="28"/>
          <w:lang w:val="zh-CN"/>
        </w:rPr>
      </w:pPr>
      <w:r>
        <w:rPr>
          <w:rFonts w:hint="eastAsia" w:ascii="仿宋_GB2312" w:hAnsi="Times New Roman" w:eastAsia="仿宋_GB2312" w:cs="宋体"/>
          <w:b/>
          <w:bCs/>
          <w:sz w:val="28"/>
          <w:szCs w:val="28"/>
          <w:lang w:val="zh-CN"/>
        </w:rPr>
        <w:t>四、评分标准</w:t>
      </w:r>
    </w:p>
    <w:tbl>
      <w:tblPr>
        <w:tblStyle w:val="4"/>
        <w:tblW w:w="9900" w:type="dxa"/>
        <w:jc w:val="right"/>
        <w:tblLayout w:type="fixed"/>
        <w:tblCellMar>
          <w:top w:w="0" w:type="dxa"/>
          <w:left w:w="108" w:type="dxa"/>
          <w:bottom w:w="0" w:type="dxa"/>
          <w:right w:w="108" w:type="dxa"/>
        </w:tblCellMar>
      </w:tblPr>
      <w:tblGrid>
        <w:gridCol w:w="504"/>
        <w:gridCol w:w="985"/>
        <w:gridCol w:w="1211"/>
        <w:gridCol w:w="840"/>
        <w:gridCol w:w="6360"/>
      </w:tblGrid>
      <w:tr>
        <w:tblPrEx>
          <w:tblCellMar>
            <w:top w:w="0" w:type="dxa"/>
            <w:left w:w="108" w:type="dxa"/>
            <w:bottom w:w="0" w:type="dxa"/>
            <w:right w:w="108" w:type="dxa"/>
          </w:tblCellMar>
        </w:tblPrEx>
        <w:trPr>
          <w:trHeight w:val="464" w:hRule="atLeast"/>
          <w:jc w:val="right"/>
        </w:trPr>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19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评审内容</w:t>
            </w:r>
          </w:p>
        </w:tc>
        <w:tc>
          <w:tcPr>
            <w:tcW w:w="840" w:type="dxa"/>
            <w:tcBorders>
              <w:top w:val="single" w:color="auto" w:sz="4" w:space="0"/>
              <w:left w:val="nil"/>
              <w:bottom w:val="single" w:color="auto" w:sz="4" w:space="0"/>
              <w:right w:val="single" w:color="auto" w:sz="4" w:space="0"/>
            </w:tcBorders>
            <w:vAlign w:val="center"/>
          </w:tcPr>
          <w:p>
            <w:pPr>
              <w:widowControl/>
              <w:spacing w:line="300" w:lineRule="atLeast"/>
              <w:jc w:val="center"/>
              <w:rPr>
                <w:rFonts w:ascii="仿宋" w:hAnsi="仿宋" w:eastAsia="仿宋" w:cs="仿宋"/>
                <w:b/>
                <w:bCs/>
                <w:color w:val="auto"/>
                <w:sz w:val="24"/>
                <w:szCs w:val="24"/>
              </w:rPr>
            </w:pPr>
            <w:r>
              <w:rPr>
                <w:rFonts w:hint="eastAsia" w:ascii="仿宋" w:hAnsi="仿宋" w:eastAsia="仿宋" w:cs="仿宋"/>
                <w:b/>
                <w:bCs/>
                <w:color w:val="auto"/>
                <w:sz w:val="24"/>
                <w:szCs w:val="24"/>
              </w:rPr>
              <w:t>分值</w:t>
            </w:r>
          </w:p>
        </w:tc>
        <w:tc>
          <w:tcPr>
            <w:tcW w:w="6360" w:type="dxa"/>
            <w:tcBorders>
              <w:top w:val="single" w:color="auto" w:sz="4" w:space="0"/>
              <w:left w:val="nil"/>
              <w:bottom w:val="single" w:color="auto" w:sz="4" w:space="0"/>
              <w:right w:val="single" w:color="auto" w:sz="4" w:space="0"/>
            </w:tcBorders>
            <w:vAlign w:val="center"/>
          </w:tcPr>
          <w:p>
            <w:pPr>
              <w:widowControl/>
              <w:spacing w:line="300" w:lineRule="atLeast"/>
              <w:jc w:val="center"/>
              <w:rPr>
                <w:rFonts w:ascii="仿宋" w:hAnsi="仿宋" w:eastAsia="仿宋" w:cs="仿宋"/>
                <w:b/>
                <w:color w:val="auto"/>
                <w:kern w:val="0"/>
                <w:sz w:val="24"/>
                <w:szCs w:val="24"/>
              </w:rPr>
            </w:pPr>
            <w:r>
              <w:rPr>
                <w:rFonts w:hint="eastAsia" w:ascii="仿宋" w:hAnsi="仿宋" w:eastAsia="仿宋" w:cs="仿宋"/>
                <w:b/>
                <w:bCs/>
                <w:color w:val="auto"/>
                <w:sz w:val="24"/>
                <w:szCs w:val="24"/>
              </w:rPr>
              <w:t>评分标准</w:t>
            </w:r>
          </w:p>
        </w:tc>
      </w:tr>
      <w:tr>
        <w:tblPrEx>
          <w:tblCellMar>
            <w:top w:w="0" w:type="dxa"/>
            <w:left w:w="108" w:type="dxa"/>
            <w:bottom w:w="0" w:type="dxa"/>
            <w:right w:w="108" w:type="dxa"/>
          </w:tblCellMar>
        </w:tblPrEx>
        <w:trPr>
          <w:trHeight w:val="1741" w:hRule="atLeast"/>
          <w:jc w:val="right"/>
        </w:trPr>
        <w:tc>
          <w:tcPr>
            <w:tcW w:w="504" w:type="dxa"/>
            <w:vMerge w:val="restart"/>
            <w:tcBorders>
              <w:top w:val="single" w:color="auto" w:sz="4" w:space="0"/>
              <w:left w:val="single" w:color="auto" w:sz="4" w:space="0"/>
              <w:right w:val="single" w:color="auto" w:sz="4" w:space="0"/>
            </w:tcBorders>
            <w:vAlign w:val="center"/>
          </w:tcPr>
          <w:p>
            <w:pPr>
              <w:widowControl/>
              <w:spacing w:line="300" w:lineRule="atLeast"/>
              <w:ind w:right="430" w:rightChars="205"/>
              <w:rPr>
                <w:rFonts w:ascii="仿宋" w:hAnsi="仿宋" w:eastAsia="仿宋" w:cs="仿宋"/>
                <w:b/>
                <w:bCs/>
                <w:color w:val="auto"/>
                <w:sz w:val="24"/>
                <w:szCs w:val="24"/>
              </w:rPr>
            </w:pPr>
            <w:r>
              <w:rPr>
                <w:rFonts w:hint="eastAsia" w:ascii="仿宋" w:hAnsi="仿宋" w:eastAsia="仿宋" w:cs="仿宋"/>
                <w:color w:val="auto"/>
                <w:kern w:val="0"/>
                <w:sz w:val="24"/>
                <w:szCs w:val="24"/>
              </w:rPr>
              <w:t>1</w:t>
            </w:r>
          </w:p>
        </w:tc>
        <w:tc>
          <w:tcPr>
            <w:tcW w:w="985" w:type="dxa"/>
            <w:vMerge w:val="restart"/>
            <w:tcBorders>
              <w:top w:val="single" w:color="auto" w:sz="4" w:space="0"/>
              <w:left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技术部分</w:t>
            </w:r>
          </w:p>
          <w:p>
            <w:pPr>
              <w:spacing w:after="120" w:line="360" w:lineRule="auto"/>
              <w:rPr>
                <w:rFonts w:ascii="仿宋" w:hAnsi="仿宋" w:eastAsia="仿宋" w:cs="仿宋"/>
                <w:color w:val="auto"/>
                <w:kern w:val="0"/>
                <w:sz w:val="28"/>
                <w:szCs w:val="28"/>
              </w:rPr>
            </w:pPr>
            <w:r>
              <w:rPr>
                <w:rFonts w:hint="eastAsia" w:ascii="Times New Roman" w:hAnsi="Times New Roman" w:eastAsia="宋体" w:cs="Times New Roman"/>
                <w:color w:val="auto"/>
                <w:sz w:val="28"/>
                <w:szCs w:val="24"/>
              </w:rPr>
              <w:t>（15分）</w:t>
            </w:r>
          </w:p>
        </w:tc>
        <w:tc>
          <w:tcPr>
            <w:tcW w:w="1211" w:type="dxa"/>
            <w:tcBorders>
              <w:top w:val="single" w:color="auto" w:sz="4" w:space="0"/>
              <w:left w:val="single" w:color="auto" w:sz="4" w:space="0"/>
              <w:right w:val="single" w:color="auto" w:sz="4" w:space="0"/>
            </w:tcBorders>
          </w:tcPr>
          <w:p>
            <w:pPr>
              <w:rPr>
                <w:rFonts w:ascii="仿宋" w:hAnsi="仿宋" w:eastAsia="仿宋" w:cs="仿宋"/>
                <w:color w:val="auto"/>
                <w:kern w:val="0"/>
                <w:sz w:val="28"/>
                <w:szCs w:val="28"/>
              </w:rPr>
            </w:pPr>
            <w:r>
              <w:rPr>
                <w:rFonts w:hint="eastAsia" w:ascii="仿宋" w:hAnsi="仿宋" w:eastAsia="仿宋" w:cs="仿宋"/>
                <w:color w:val="auto"/>
                <w:kern w:val="0"/>
                <w:sz w:val="28"/>
                <w:szCs w:val="28"/>
              </w:rPr>
              <w:t>生产工艺</w:t>
            </w:r>
          </w:p>
        </w:tc>
        <w:tc>
          <w:tcPr>
            <w:tcW w:w="840" w:type="dxa"/>
            <w:tcBorders>
              <w:top w:val="single" w:color="auto" w:sz="4" w:space="0"/>
              <w:left w:val="single" w:color="auto" w:sz="4" w:space="0"/>
              <w:right w:val="single" w:color="auto" w:sz="4" w:space="0"/>
            </w:tcBorders>
          </w:tcPr>
          <w:p>
            <w:pPr>
              <w:rPr>
                <w:rFonts w:ascii="仿宋" w:hAnsi="仿宋" w:eastAsia="仿宋" w:cs="仿宋"/>
                <w:color w:val="auto"/>
                <w:kern w:val="0"/>
                <w:sz w:val="28"/>
                <w:szCs w:val="28"/>
              </w:rPr>
            </w:pPr>
            <w:r>
              <w:rPr>
                <w:rFonts w:hint="eastAsia" w:ascii="仿宋" w:hAnsi="仿宋" w:eastAsia="仿宋" w:cs="仿宋"/>
                <w:color w:val="auto"/>
                <w:kern w:val="0"/>
                <w:sz w:val="28"/>
                <w:szCs w:val="28"/>
              </w:rPr>
              <w:t>10分</w:t>
            </w:r>
          </w:p>
        </w:tc>
        <w:tc>
          <w:tcPr>
            <w:tcW w:w="6360" w:type="dxa"/>
            <w:tcBorders>
              <w:top w:val="single" w:color="auto" w:sz="4" w:space="0"/>
              <w:left w:val="nil"/>
              <w:right w:val="single" w:color="auto" w:sz="4" w:space="0"/>
            </w:tcBorders>
          </w:tcPr>
          <w:p>
            <w:pPr>
              <w:rPr>
                <w:rFonts w:ascii="仿宋" w:hAnsi="仿宋" w:eastAsia="仿宋" w:cs="仿宋"/>
                <w:color w:val="auto"/>
                <w:kern w:val="0"/>
                <w:sz w:val="28"/>
                <w:szCs w:val="28"/>
              </w:rPr>
            </w:pPr>
            <w:r>
              <w:rPr>
                <w:rFonts w:hint="eastAsia" w:ascii="仿宋" w:hAnsi="仿宋" w:eastAsia="仿宋" w:cs="仿宋"/>
                <w:color w:val="auto"/>
                <w:kern w:val="0"/>
                <w:sz w:val="28"/>
                <w:szCs w:val="28"/>
              </w:rPr>
              <w:t>根据生产厂家的生产工艺、生产设备、环保设施的先进性（并附相应照片）以及制造企业受当地环保政策影响的程度等情况，横向对比后进行打分，优的得8分（含）-10分（含），良的得5分（含）-7分（含），一般得1（含）-4分（含），未提供者不得分。</w:t>
            </w:r>
          </w:p>
        </w:tc>
      </w:tr>
      <w:tr>
        <w:tblPrEx>
          <w:tblCellMar>
            <w:top w:w="0" w:type="dxa"/>
            <w:left w:w="108" w:type="dxa"/>
            <w:bottom w:w="0" w:type="dxa"/>
            <w:right w:w="108" w:type="dxa"/>
          </w:tblCellMar>
        </w:tblPrEx>
        <w:trPr>
          <w:trHeight w:val="90" w:hRule="atLeast"/>
          <w:jc w:val="right"/>
        </w:trPr>
        <w:tc>
          <w:tcPr>
            <w:tcW w:w="504" w:type="dxa"/>
            <w:vMerge w:val="continue"/>
            <w:tcBorders>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b/>
                <w:bCs/>
                <w:color w:val="auto"/>
                <w:sz w:val="24"/>
                <w:szCs w:val="24"/>
              </w:rPr>
            </w:pPr>
          </w:p>
        </w:tc>
        <w:tc>
          <w:tcPr>
            <w:tcW w:w="985" w:type="dxa"/>
            <w:vMerge w:val="continue"/>
            <w:tcBorders>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b/>
                <w:bCs/>
                <w:color w:val="auto"/>
                <w:sz w:val="28"/>
                <w:szCs w:val="28"/>
              </w:rPr>
            </w:pPr>
          </w:p>
        </w:tc>
        <w:tc>
          <w:tcPr>
            <w:tcW w:w="1211" w:type="dxa"/>
            <w:tcBorders>
              <w:top w:val="single" w:color="auto" w:sz="4" w:space="0"/>
              <w:left w:val="single" w:color="auto" w:sz="4" w:space="0"/>
              <w:bottom w:val="single" w:color="auto" w:sz="4" w:space="0"/>
              <w:right w:val="single" w:color="auto" w:sz="4" w:space="0"/>
            </w:tcBorders>
            <w:vAlign w:val="center"/>
          </w:tcPr>
          <w:p>
            <w:pPr>
              <w:widowControl/>
              <w:spacing w:before="100" w:after="100"/>
              <w:jc w:val="center"/>
              <w:rPr>
                <w:rFonts w:ascii="仿宋" w:hAnsi="仿宋" w:eastAsia="仿宋" w:cs="仿宋"/>
                <w:b/>
                <w:bCs/>
                <w:color w:val="auto"/>
                <w:kern w:val="0"/>
                <w:sz w:val="28"/>
                <w:szCs w:val="28"/>
              </w:rPr>
            </w:pPr>
            <w:r>
              <w:rPr>
                <w:rFonts w:hint="eastAsia" w:ascii="仿宋" w:hAnsi="仿宋" w:eastAsia="仿宋" w:cs="仿宋"/>
                <w:color w:val="auto"/>
                <w:kern w:val="0"/>
                <w:sz w:val="28"/>
                <w:szCs w:val="28"/>
              </w:rPr>
              <w:t>产品质量控制措施</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156" w:after="156" w:line="360" w:lineRule="exact"/>
              <w:rPr>
                <w:rFonts w:ascii="仿宋" w:hAnsi="仿宋" w:eastAsia="仿宋" w:cs="仿宋"/>
                <w:b/>
                <w:bCs/>
                <w:color w:val="auto"/>
                <w:kern w:val="0"/>
                <w:sz w:val="28"/>
                <w:szCs w:val="28"/>
              </w:rPr>
            </w:pPr>
            <w:r>
              <w:rPr>
                <w:rFonts w:hint="eastAsia" w:ascii="仿宋" w:hAnsi="仿宋" w:eastAsia="仿宋" w:cs="仿宋"/>
                <w:color w:val="auto"/>
                <w:kern w:val="0"/>
                <w:sz w:val="28"/>
                <w:szCs w:val="28"/>
              </w:rPr>
              <w:t>5分</w:t>
            </w:r>
          </w:p>
        </w:tc>
        <w:tc>
          <w:tcPr>
            <w:tcW w:w="6360" w:type="dxa"/>
            <w:tcBorders>
              <w:top w:val="single" w:color="auto" w:sz="4" w:space="0"/>
              <w:left w:val="nil"/>
              <w:bottom w:val="single" w:color="auto" w:sz="4" w:space="0"/>
              <w:right w:val="single" w:color="auto" w:sz="4" w:space="0"/>
            </w:tcBorders>
            <w:vAlign w:val="center"/>
          </w:tcPr>
          <w:p>
            <w:pPr>
              <w:widowControl/>
              <w:spacing w:before="100" w:after="100" w:line="360" w:lineRule="exact"/>
              <w:jc w:val="left"/>
              <w:rPr>
                <w:rFonts w:ascii="仿宋" w:hAnsi="仿宋" w:eastAsia="仿宋" w:cs="仿宋"/>
                <w:b/>
                <w:bCs/>
                <w:color w:val="auto"/>
                <w:kern w:val="0"/>
                <w:sz w:val="28"/>
                <w:szCs w:val="28"/>
              </w:rPr>
            </w:pPr>
            <w:r>
              <w:rPr>
                <w:rFonts w:hint="eastAsia" w:ascii="仿宋" w:hAnsi="仿宋" w:eastAsia="仿宋" w:cs="仿宋"/>
                <w:color w:val="auto"/>
                <w:kern w:val="0"/>
                <w:sz w:val="28"/>
                <w:szCs w:val="28"/>
              </w:rPr>
              <w:t>产品出现质量问题后的应急预案横向比较后进行打分，优的得3分（含）-5分（含），其他的得1（分）（含）-2分（含），未提供者不得分。</w:t>
            </w:r>
          </w:p>
        </w:tc>
      </w:tr>
      <w:tr>
        <w:tblPrEx>
          <w:tblCellMar>
            <w:top w:w="0" w:type="dxa"/>
            <w:left w:w="108" w:type="dxa"/>
            <w:bottom w:w="0" w:type="dxa"/>
            <w:right w:w="108" w:type="dxa"/>
          </w:tblCellMar>
        </w:tblPrEx>
        <w:trPr>
          <w:trHeight w:val="1104" w:hRule="atLeast"/>
          <w:jc w:val="right"/>
        </w:trPr>
        <w:tc>
          <w:tcPr>
            <w:tcW w:w="5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ind w:right="430" w:rightChars="205"/>
              <w:rPr>
                <w:rFonts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资信业绩（21分）</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投标人或其代理产品的生产厂家资信</w:t>
            </w:r>
          </w:p>
        </w:tc>
        <w:tc>
          <w:tcPr>
            <w:tcW w:w="840" w:type="dxa"/>
            <w:tcBorders>
              <w:top w:val="single" w:color="auto" w:sz="4" w:space="0"/>
              <w:left w:val="nil"/>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10分</w:t>
            </w:r>
          </w:p>
        </w:tc>
        <w:tc>
          <w:tcPr>
            <w:tcW w:w="6360" w:type="dxa"/>
            <w:tcBorders>
              <w:top w:val="single" w:color="auto" w:sz="4" w:space="0"/>
              <w:left w:val="nil"/>
              <w:bottom w:val="single" w:color="auto" w:sz="4" w:space="0"/>
              <w:right w:val="single" w:color="auto" w:sz="4" w:space="0"/>
            </w:tcBorders>
            <w:vAlign w:val="center"/>
          </w:tcPr>
          <w:p>
            <w:pPr>
              <w:widowControl/>
              <w:numPr>
                <w:ilvl w:val="0"/>
                <w:numId w:val="1"/>
              </w:numPr>
              <w:jc w:val="left"/>
              <w:rPr>
                <w:rFonts w:ascii="仿宋" w:hAnsi="仿宋" w:eastAsia="仿宋" w:cs="仿宋"/>
                <w:color w:val="auto"/>
                <w:sz w:val="28"/>
                <w:szCs w:val="28"/>
              </w:rPr>
            </w:pPr>
            <w:r>
              <w:rPr>
                <w:rFonts w:hint="eastAsia" w:ascii="仿宋" w:hAnsi="仿宋" w:eastAsia="仿宋" w:cs="仿宋"/>
                <w:color w:val="auto"/>
                <w:sz w:val="28"/>
                <w:szCs w:val="28"/>
              </w:rPr>
              <w:t>投标人或其代理产品的生产厂家具有质量管理体系认证证书得1分；</w:t>
            </w:r>
          </w:p>
          <w:p>
            <w:pPr>
              <w:widowControl/>
              <w:numPr>
                <w:ilvl w:val="0"/>
                <w:numId w:val="1"/>
              </w:numPr>
              <w:jc w:val="left"/>
              <w:rPr>
                <w:rFonts w:ascii="仿宋" w:hAnsi="仿宋" w:eastAsia="仿宋" w:cs="仿宋"/>
                <w:color w:val="auto"/>
                <w:sz w:val="28"/>
                <w:szCs w:val="28"/>
              </w:rPr>
            </w:pPr>
            <w:r>
              <w:rPr>
                <w:rFonts w:hint="eastAsia" w:ascii="仿宋" w:hAnsi="仿宋" w:eastAsia="仿宋" w:cs="仿宋"/>
                <w:color w:val="auto"/>
                <w:sz w:val="28"/>
                <w:szCs w:val="28"/>
              </w:rPr>
              <w:t>投标人或其代理产品的生产厂家具有环境管理体系认证证书得1分；</w:t>
            </w:r>
          </w:p>
          <w:p>
            <w:pPr>
              <w:rPr>
                <w:rFonts w:ascii="Times New Roman" w:hAnsi="Times New Roman" w:eastAsia="宋体" w:cs="Times New Roman"/>
                <w:color w:val="auto"/>
                <w:sz w:val="28"/>
                <w:szCs w:val="28"/>
              </w:rPr>
            </w:pPr>
            <w:r>
              <w:rPr>
                <w:rFonts w:hint="eastAsia" w:ascii="仿宋" w:hAnsi="仿宋" w:eastAsia="仿宋" w:cs="仿宋"/>
                <w:color w:val="auto"/>
                <w:sz w:val="28"/>
                <w:szCs w:val="28"/>
              </w:rPr>
              <w:t>3、投标人或其代理产品的生</w:t>
            </w:r>
            <w:bookmarkStart w:id="0" w:name="_GoBack"/>
            <w:bookmarkEnd w:id="0"/>
            <w:r>
              <w:rPr>
                <w:rFonts w:hint="eastAsia" w:ascii="仿宋" w:hAnsi="仿宋" w:eastAsia="仿宋" w:cs="仿宋"/>
                <w:color w:val="auto"/>
                <w:sz w:val="28"/>
                <w:szCs w:val="28"/>
              </w:rPr>
              <w:t>产厂家具有职业健康安全管理体系认证证书得1分；</w:t>
            </w:r>
          </w:p>
          <w:p>
            <w:pPr>
              <w:widowControl/>
              <w:jc w:val="left"/>
              <w:rPr>
                <w:rFonts w:ascii="仿宋" w:hAnsi="仿宋" w:eastAsia="仿宋" w:cs="仿宋"/>
                <w:color w:val="auto"/>
                <w:sz w:val="28"/>
                <w:szCs w:val="28"/>
              </w:rPr>
            </w:pPr>
            <w:r>
              <w:rPr>
                <w:rFonts w:hint="eastAsia" w:ascii="仿宋" w:hAnsi="仿宋" w:eastAsia="仿宋" w:cs="仿宋"/>
                <w:color w:val="auto"/>
                <w:sz w:val="28"/>
                <w:szCs w:val="28"/>
              </w:rPr>
              <w:t>4.提供具备检测资质的第三方检测机构出具的三元乙丙胶圈2017-2019年度内材质及卫生合格检测报告，得1分，未提供不得分；</w:t>
            </w:r>
          </w:p>
          <w:p>
            <w:pPr>
              <w:widowControl/>
              <w:jc w:val="left"/>
              <w:rPr>
                <w:rFonts w:ascii="仿宋" w:hAnsi="仿宋" w:eastAsia="仿宋" w:cs="仿宋"/>
                <w:color w:val="auto"/>
                <w:sz w:val="28"/>
                <w:szCs w:val="28"/>
              </w:rPr>
            </w:pPr>
            <w:r>
              <w:rPr>
                <w:rFonts w:hint="eastAsia" w:ascii="仿宋" w:hAnsi="仿宋" w:eastAsia="仿宋" w:cs="仿宋"/>
                <w:color w:val="auto"/>
                <w:sz w:val="28"/>
                <w:szCs w:val="28"/>
              </w:rPr>
              <w:t>5.提供2017年—2019年度具有球墨铸铁管检测资质的国家级检测中心出具的符合本次招标产品所有规格的质量检测合格报告，每提供一个年度的得2分，满分6分；</w:t>
            </w:r>
          </w:p>
          <w:p>
            <w:pPr>
              <w:widowControl/>
              <w:jc w:val="left"/>
              <w:rPr>
                <w:rFonts w:ascii="仿宋" w:hAnsi="仿宋" w:eastAsia="仿宋" w:cs="仿宋"/>
                <w:color w:val="auto"/>
                <w:sz w:val="28"/>
                <w:szCs w:val="28"/>
              </w:rPr>
            </w:pPr>
            <w:r>
              <w:rPr>
                <w:rFonts w:hint="eastAsia" w:ascii="仿宋" w:hAnsi="仿宋" w:eastAsia="仿宋" w:cs="仿宋"/>
                <w:b/>
                <w:bCs/>
                <w:color w:val="auto"/>
                <w:sz w:val="28"/>
                <w:szCs w:val="28"/>
              </w:rPr>
              <w:t>投标人须提供相应有效证书复印件，原件备查；若是销售代理商投标，则销售代理商须提供相应证书复印件加盖生产厂家公章备查，否则不得分。</w:t>
            </w:r>
          </w:p>
        </w:tc>
      </w:tr>
      <w:tr>
        <w:tblPrEx>
          <w:tblCellMar>
            <w:top w:w="0" w:type="dxa"/>
            <w:left w:w="108" w:type="dxa"/>
            <w:bottom w:w="0" w:type="dxa"/>
            <w:right w:w="108" w:type="dxa"/>
          </w:tblCellMar>
        </w:tblPrEx>
        <w:trPr>
          <w:trHeight w:val="1821" w:hRule="atLeast"/>
          <w:jc w:val="right"/>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tLeast"/>
              <w:ind w:right="430" w:rightChars="205"/>
              <w:rPr>
                <w:rFonts w:ascii="仿宋" w:hAnsi="仿宋" w:eastAsia="仿宋" w:cs="仿宋"/>
                <w:color w:val="auto"/>
                <w:kern w:val="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8"/>
                <w:szCs w:val="28"/>
              </w:rPr>
            </w:pP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color w:val="auto"/>
                <w:sz w:val="28"/>
                <w:szCs w:val="28"/>
                <w:u w:color="FFFFFF"/>
              </w:rPr>
            </w:pPr>
          </w:p>
          <w:p>
            <w:pPr>
              <w:jc w:val="center"/>
              <w:rPr>
                <w:rFonts w:ascii="宋体" w:hAnsi="宋体" w:eastAsia="宋体" w:cs="Times New Roman"/>
                <w:bCs/>
                <w:color w:val="auto"/>
                <w:sz w:val="28"/>
                <w:szCs w:val="28"/>
                <w:u w:color="FFFFFF"/>
              </w:rPr>
            </w:pPr>
            <w:r>
              <w:rPr>
                <w:rFonts w:hint="eastAsia" w:ascii="仿宋" w:hAnsi="仿宋" w:eastAsia="仿宋" w:cs="仿宋"/>
                <w:color w:val="auto"/>
                <w:kern w:val="0"/>
                <w:sz w:val="28"/>
                <w:szCs w:val="28"/>
              </w:rPr>
              <w:t>信用等级</w:t>
            </w:r>
          </w:p>
          <w:p>
            <w:pPr>
              <w:widowControl/>
              <w:spacing w:line="300" w:lineRule="atLeast"/>
              <w:jc w:val="center"/>
              <w:rPr>
                <w:rFonts w:ascii="仿宋" w:hAnsi="仿宋" w:eastAsia="仿宋" w:cs="仿宋"/>
                <w:color w:val="auto"/>
                <w:kern w:val="0"/>
                <w:sz w:val="28"/>
                <w:szCs w:val="28"/>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8"/>
                <w:szCs w:val="28"/>
              </w:rPr>
            </w:pPr>
            <w:r>
              <w:rPr>
                <w:rFonts w:hint="eastAsia" w:ascii="宋体" w:hAnsi="宋体" w:eastAsia="宋体" w:cs="Times New Roman"/>
                <w:bCs/>
                <w:color w:val="auto"/>
                <w:sz w:val="28"/>
                <w:szCs w:val="28"/>
                <w:u w:color="FFFFFF"/>
              </w:rPr>
              <w:t>5分</w:t>
            </w:r>
          </w:p>
        </w:tc>
        <w:tc>
          <w:tcPr>
            <w:tcW w:w="63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8"/>
                <w:szCs w:val="28"/>
                <w:u w:color="FFFFFF"/>
              </w:rPr>
            </w:pPr>
            <w:r>
              <w:rPr>
                <w:rFonts w:hint="eastAsia" w:ascii="仿宋" w:hAnsi="仿宋" w:eastAsia="仿宋" w:cs="仿宋"/>
                <w:color w:val="auto"/>
                <w:sz w:val="28"/>
                <w:szCs w:val="28"/>
              </w:rPr>
              <w:t>1、投标人</w:t>
            </w:r>
            <w:r>
              <w:rPr>
                <w:rFonts w:hint="eastAsia" w:ascii="仿宋" w:hAnsi="仿宋" w:eastAsia="仿宋" w:cs="仿宋"/>
                <w:color w:val="auto"/>
                <w:sz w:val="28"/>
                <w:szCs w:val="28"/>
                <w:u w:color="FFFFFF"/>
              </w:rPr>
              <w:t>获得守合同重信用：提供有效期内“守合同重信用”证书的得3分；</w:t>
            </w:r>
          </w:p>
          <w:p>
            <w:pPr>
              <w:widowControl/>
              <w:jc w:val="left"/>
              <w:rPr>
                <w:rFonts w:ascii="仿宋" w:hAnsi="仿宋" w:eastAsia="仿宋" w:cs="仿宋"/>
                <w:color w:val="auto"/>
                <w:sz w:val="28"/>
                <w:szCs w:val="28"/>
                <w:u w:color="FFFFFF"/>
              </w:rPr>
            </w:pPr>
            <w:r>
              <w:rPr>
                <w:rFonts w:hint="eastAsia" w:ascii="仿宋" w:hAnsi="仿宋" w:eastAsia="仿宋" w:cs="仿宋"/>
                <w:color w:val="auto"/>
                <w:sz w:val="28"/>
                <w:szCs w:val="28"/>
                <w:u w:color="FFFFFF"/>
              </w:rPr>
              <w:t>2、投标人重获得社会信用评价等级最高（含并列）得2分，其他等级得1分,没有的不得分。</w:t>
            </w:r>
          </w:p>
          <w:p>
            <w:pPr>
              <w:widowControl/>
              <w:jc w:val="left"/>
              <w:rPr>
                <w:rFonts w:ascii="仿宋" w:hAnsi="仿宋" w:eastAsia="仿宋" w:cs="仿宋"/>
                <w:color w:val="auto"/>
                <w:sz w:val="28"/>
                <w:szCs w:val="28"/>
              </w:rPr>
            </w:pPr>
            <w:r>
              <w:rPr>
                <w:rFonts w:hint="eastAsia" w:ascii="仿宋" w:hAnsi="仿宋" w:eastAsia="仿宋" w:cs="仿宋"/>
                <w:b/>
                <w:bCs/>
                <w:color w:val="auto"/>
                <w:sz w:val="28"/>
                <w:szCs w:val="28"/>
              </w:rPr>
              <w:t>投标人须提供有效证书或文件，</w:t>
            </w:r>
            <w:r>
              <w:rPr>
                <w:rFonts w:hint="eastAsia" w:ascii="仿宋" w:hAnsi="仿宋" w:eastAsia="仿宋" w:cs="仿宋"/>
                <w:b/>
                <w:bCs/>
                <w:color w:val="auto"/>
                <w:sz w:val="28"/>
                <w:szCs w:val="28"/>
                <w:u w:color="FFFFFF"/>
              </w:rPr>
              <w:t>复印件加盖投标单位公章装订入技术商务文件，</w:t>
            </w:r>
            <w:r>
              <w:rPr>
                <w:rFonts w:hint="eastAsia" w:ascii="仿宋" w:hAnsi="仿宋" w:eastAsia="仿宋" w:cs="仿宋"/>
                <w:b/>
                <w:bCs/>
                <w:color w:val="auto"/>
                <w:sz w:val="28"/>
                <w:szCs w:val="28"/>
              </w:rPr>
              <w:t>原件备查，否则不得分。</w:t>
            </w:r>
          </w:p>
        </w:tc>
      </w:tr>
      <w:tr>
        <w:tblPrEx>
          <w:tblCellMar>
            <w:top w:w="0" w:type="dxa"/>
            <w:left w:w="108" w:type="dxa"/>
            <w:bottom w:w="0" w:type="dxa"/>
            <w:right w:w="108" w:type="dxa"/>
          </w:tblCellMar>
        </w:tblPrEx>
        <w:trPr>
          <w:trHeight w:val="407" w:hRule="atLeast"/>
          <w:jc w:val="right"/>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tLeast"/>
              <w:ind w:right="430" w:rightChars="205"/>
              <w:jc w:val="center"/>
              <w:rPr>
                <w:rFonts w:ascii="仿宋" w:hAnsi="仿宋" w:eastAsia="仿宋" w:cs="仿宋"/>
                <w:color w:val="auto"/>
                <w:kern w:val="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仿宋" w:hAnsi="仿宋" w:eastAsia="仿宋" w:cs="仿宋"/>
                <w:color w:val="auto"/>
                <w:kern w:val="0"/>
                <w:sz w:val="28"/>
                <w:szCs w:val="28"/>
              </w:rPr>
            </w:pPr>
          </w:p>
        </w:tc>
        <w:tc>
          <w:tcPr>
            <w:tcW w:w="121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28"/>
                <w:szCs w:val="28"/>
              </w:rPr>
            </w:pPr>
          </w:p>
          <w:p>
            <w:pPr>
              <w:jc w:val="center"/>
              <w:rPr>
                <w:rFonts w:ascii="仿宋" w:hAnsi="仿宋" w:eastAsia="仿宋" w:cs="仿宋"/>
                <w:color w:val="auto"/>
                <w:sz w:val="28"/>
                <w:szCs w:val="28"/>
              </w:rPr>
            </w:pPr>
            <w:r>
              <w:rPr>
                <w:rFonts w:hint="eastAsia" w:ascii="仿宋" w:hAnsi="仿宋" w:eastAsia="仿宋" w:cs="仿宋"/>
                <w:color w:val="auto"/>
                <w:sz w:val="28"/>
                <w:szCs w:val="28"/>
              </w:rPr>
              <w:t>企业</w:t>
            </w:r>
          </w:p>
          <w:p>
            <w:pPr>
              <w:jc w:val="center"/>
              <w:rPr>
                <w:rFonts w:ascii="仿宋" w:hAnsi="仿宋" w:eastAsia="仿宋" w:cs="仿宋"/>
                <w:color w:val="auto"/>
                <w:sz w:val="28"/>
                <w:szCs w:val="28"/>
              </w:rPr>
            </w:pPr>
            <w:r>
              <w:rPr>
                <w:rFonts w:hint="eastAsia" w:ascii="仿宋" w:hAnsi="仿宋" w:eastAsia="仿宋" w:cs="仿宋"/>
                <w:color w:val="auto"/>
                <w:sz w:val="28"/>
                <w:szCs w:val="28"/>
              </w:rPr>
              <w:t>类似业绩</w:t>
            </w:r>
          </w:p>
          <w:p>
            <w:pPr>
              <w:widowControl/>
              <w:overflowPunct w:val="0"/>
              <w:autoSpaceDE w:val="0"/>
              <w:autoSpaceDN w:val="0"/>
              <w:adjustRightInd w:val="0"/>
              <w:spacing w:before="240" w:after="60"/>
              <w:jc w:val="center"/>
              <w:textAlignment w:val="baseline"/>
              <w:outlineLvl w:val="5"/>
              <w:rPr>
                <w:rFonts w:ascii="仿宋" w:hAnsi="仿宋" w:eastAsia="仿宋" w:cs="仿宋"/>
                <w:i/>
                <w:color w:val="auto"/>
                <w:kern w:val="0"/>
                <w:sz w:val="28"/>
                <w:szCs w:val="28"/>
              </w:rPr>
            </w:pPr>
          </w:p>
        </w:tc>
        <w:tc>
          <w:tcPr>
            <w:tcW w:w="8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kern w:val="0"/>
                <w:sz w:val="28"/>
                <w:szCs w:val="28"/>
              </w:rPr>
            </w:pPr>
            <w:r>
              <w:rPr>
                <w:rFonts w:hint="eastAsia" w:ascii="仿宋" w:hAnsi="仿宋" w:eastAsia="仿宋" w:cs="仿宋"/>
                <w:color w:val="auto"/>
                <w:sz w:val="28"/>
                <w:szCs w:val="28"/>
                <w:u w:color="FFFFFF"/>
              </w:rPr>
              <w:t>6</w:t>
            </w:r>
            <w:r>
              <w:rPr>
                <w:rFonts w:hint="eastAsia" w:ascii="仿宋" w:hAnsi="仿宋" w:eastAsia="仿宋" w:cs="仿宋"/>
                <w:color w:val="auto"/>
                <w:kern w:val="0"/>
                <w:sz w:val="28"/>
                <w:szCs w:val="28"/>
              </w:rPr>
              <w:t>分</w:t>
            </w:r>
          </w:p>
        </w:tc>
        <w:tc>
          <w:tcPr>
            <w:tcW w:w="6360"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spacing w:before="240" w:after="60"/>
              <w:jc w:val="left"/>
              <w:textAlignment w:val="baseline"/>
              <w:outlineLvl w:val="5"/>
              <w:rPr>
                <w:rFonts w:ascii="仿宋" w:hAnsi="仿宋" w:eastAsia="仿宋" w:cs="仿宋"/>
                <w:iCs/>
                <w:color w:val="auto"/>
                <w:sz w:val="28"/>
                <w:szCs w:val="28"/>
              </w:rPr>
            </w:pPr>
            <w:r>
              <w:rPr>
                <w:rFonts w:hint="eastAsia" w:ascii="仿宋" w:hAnsi="仿宋" w:eastAsia="仿宋" w:cs="仿宋"/>
                <w:iCs/>
                <w:color w:val="auto"/>
                <w:sz w:val="28"/>
                <w:szCs w:val="28"/>
              </w:rPr>
              <w:t>投标人自2017年1月1日以来（时间以合同生效日为准），完成球墨铸铁管材单项合同不低于1000万（含）的（该合同供货清单应包含管径≥DN800球墨铸铁管）业绩每提供一个得1分，最高得6分，投标人须提供合同复印件。</w:t>
            </w:r>
          </w:p>
          <w:p>
            <w:pPr>
              <w:widowControl/>
              <w:overflowPunct w:val="0"/>
              <w:autoSpaceDE w:val="0"/>
              <w:autoSpaceDN w:val="0"/>
              <w:adjustRightInd w:val="0"/>
              <w:spacing w:before="240" w:after="60"/>
              <w:jc w:val="left"/>
              <w:textAlignment w:val="baseline"/>
              <w:outlineLvl w:val="5"/>
              <w:rPr>
                <w:rFonts w:ascii="仿宋" w:hAnsi="仿宋" w:eastAsia="仿宋" w:cs="仿宋"/>
                <w:iCs/>
                <w:color w:val="auto"/>
                <w:sz w:val="28"/>
                <w:szCs w:val="28"/>
              </w:rPr>
            </w:pPr>
            <w:r>
              <w:rPr>
                <w:rFonts w:hint="eastAsia" w:ascii="仿宋" w:hAnsi="仿宋" w:eastAsia="仿宋" w:cs="仿宋"/>
                <w:b/>
                <w:bCs/>
                <w:iCs/>
                <w:color w:val="auto"/>
                <w:sz w:val="28"/>
                <w:szCs w:val="28"/>
              </w:rPr>
              <w:t>须提供合同原件备查，否则不得分。</w:t>
            </w:r>
          </w:p>
        </w:tc>
      </w:tr>
      <w:tr>
        <w:tblPrEx>
          <w:tblCellMar>
            <w:top w:w="0" w:type="dxa"/>
            <w:left w:w="108" w:type="dxa"/>
            <w:bottom w:w="0" w:type="dxa"/>
            <w:right w:w="108" w:type="dxa"/>
          </w:tblCellMar>
        </w:tblPrEx>
        <w:trPr>
          <w:trHeight w:val="710" w:hRule="atLeast"/>
          <w:jc w:val="right"/>
        </w:trPr>
        <w:tc>
          <w:tcPr>
            <w:tcW w:w="5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售后服务（4分）</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after="100" w:line="36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质保期承诺</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after="100" w:line="3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2分</w:t>
            </w:r>
          </w:p>
        </w:tc>
        <w:tc>
          <w:tcPr>
            <w:tcW w:w="63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kern w:val="0"/>
                <w:sz w:val="28"/>
                <w:szCs w:val="28"/>
              </w:rPr>
            </w:pPr>
            <w:r>
              <w:rPr>
                <w:rFonts w:hint="eastAsia" w:ascii="仿宋" w:hAnsi="仿宋" w:eastAsia="仿宋" w:cs="仿宋"/>
                <w:color w:val="auto"/>
                <w:kern w:val="0"/>
                <w:sz w:val="28"/>
                <w:szCs w:val="28"/>
              </w:rPr>
              <w:t>根据投标人的质保期承诺进行打分，质保期承诺时间等于招标文件规定的不得分，优于招标文件规定每增加一年加1分，最高得2分。</w:t>
            </w:r>
          </w:p>
        </w:tc>
      </w:tr>
      <w:tr>
        <w:tblPrEx>
          <w:tblCellMar>
            <w:top w:w="0" w:type="dxa"/>
            <w:left w:w="108" w:type="dxa"/>
            <w:bottom w:w="0" w:type="dxa"/>
            <w:right w:w="108" w:type="dxa"/>
          </w:tblCellMar>
        </w:tblPrEx>
        <w:trPr>
          <w:trHeight w:val="1418" w:hRule="atLeast"/>
          <w:jc w:val="right"/>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4"/>
                <w:szCs w:val="24"/>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8"/>
                <w:szCs w:val="28"/>
              </w:rPr>
            </w:pPr>
          </w:p>
        </w:tc>
        <w:tc>
          <w:tcPr>
            <w:tcW w:w="12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after="100" w:line="360" w:lineRule="exact"/>
              <w:jc w:val="center"/>
              <w:rPr>
                <w:rFonts w:ascii="仿宋" w:hAnsi="仿宋" w:eastAsia="宋体" w:cs="仿宋"/>
                <w:color w:val="auto"/>
                <w:kern w:val="0"/>
                <w:sz w:val="28"/>
                <w:szCs w:val="28"/>
              </w:rPr>
            </w:pPr>
            <w:r>
              <w:rPr>
                <w:rFonts w:hint="eastAsia" w:ascii="仿宋" w:hAnsi="仿宋" w:eastAsia="仿宋" w:cs="仿宋"/>
                <w:color w:val="auto"/>
                <w:kern w:val="0"/>
                <w:sz w:val="28"/>
                <w:szCs w:val="28"/>
              </w:rPr>
              <w:t>售后服务承诺</w:t>
            </w:r>
          </w:p>
        </w:tc>
        <w:tc>
          <w:tcPr>
            <w:tcW w:w="840" w:type="dxa"/>
            <w:tcBorders>
              <w:top w:val="single" w:color="auto" w:sz="4" w:space="0"/>
              <w:left w:val="single" w:color="auto" w:sz="4" w:space="0"/>
              <w:right w:val="single" w:color="auto" w:sz="4" w:space="0"/>
            </w:tcBorders>
            <w:vAlign w:val="center"/>
          </w:tcPr>
          <w:p>
            <w:pPr>
              <w:widowControl/>
              <w:shd w:val="clear" w:color="auto" w:fill="FFFFFF"/>
              <w:spacing w:before="100" w:after="100" w:line="36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2分</w:t>
            </w:r>
          </w:p>
        </w:tc>
        <w:tc>
          <w:tcPr>
            <w:tcW w:w="6360" w:type="dxa"/>
            <w:tcBorders>
              <w:top w:val="single" w:color="auto" w:sz="4" w:space="0"/>
              <w:left w:val="single" w:color="auto" w:sz="4" w:space="0"/>
              <w:right w:val="single" w:color="auto" w:sz="4" w:space="0"/>
            </w:tcBorders>
            <w:vAlign w:val="center"/>
          </w:tcPr>
          <w:p>
            <w:pPr>
              <w:widowControl/>
              <w:shd w:val="clear" w:color="auto" w:fill="FFFFFF"/>
              <w:spacing w:before="100" w:after="100" w:line="3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根据投标人服务承诺的可行性、完整性以及服务承诺落实的保障措施打分0-2分，未提供者不得分。</w:t>
            </w:r>
          </w:p>
        </w:tc>
      </w:tr>
      <w:tr>
        <w:tblPrEx>
          <w:tblCellMar>
            <w:top w:w="0" w:type="dxa"/>
            <w:left w:w="108" w:type="dxa"/>
            <w:bottom w:w="0" w:type="dxa"/>
            <w:right w:w="108" w:type="dxa"/>
          </w:tblCellMar>
        </w:tblPrEx>
        <w:trPr>
          <w:trHeight w:val="2099" w:hRule="atLeast"/>
          <w:jc w:val="right"/>
        </w:trPr>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ind w:right="430" w:rightChars="205"/>
              <w:rPr>
                <w:rFonts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219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报价60分</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60分</w:t>
            </w:r>
          </w:p>
        </w:tc>
        <w:tc>
          <w:tcPr>
            <w:tcW w:w="6360"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仿宋" w:hAnsi="仿宋" w:eastAsia="仿宋" w:cs="仿宋"/>
                <w:color w:val="auto"/>
                <w:kern w:val="0"/>
                <w:sz w:val="28"/>
                <w:szCs w:val="28"/>
              </w:rPr>
            </w:pPr>
            <w:r>
              <w:rPr>
                <w:rFonts w:hint="eastAsia" w:ascii="仿宋_GB2312" w:hAnsi="仿宋_GB2312" w:eastAsia="仿宋_GB2312" w:cs="仿宋_GB2312"/>
                <w:color w:val="auto"/>
                <w:sz w:val="28"/>
                <w:szCs w:val="28"/>
              </w:rPr>
              <w:t>本项目最高限价：</w:t>
            </w:r>
            <w:r>
              <w:rPr>
                <w:rFonts w:hint="eastAsia" w:ascii="仿宋_GB2312" w:hAnsi="Times New Roman" w:eastAsia="仿宋_GB2312" w:cs="Times New Roman"/>
                <w:color w:val="auto"/>
                <w:sz w:val="28"/>
                <w:szCs w:val="28"/>
              </w:rPr>
              <w:t>1030万元</w:t>
            </w:r>
            <w:r>
              <w:rPr>
                <w:rFonts w:hint="eastAsia" w:ascii="仿宋_GB2312" w:hAnsi="仿宋_GB2312" w:eastAsia="仿宋_GB2312" w:cs="仿宋_GB2312"/>
                <w:color w:val="auto"/>
                <w:sz w:val="28"/>
                <w:szCs w:val="28"/>
              </w:rPr>
              <w:t>，基准价为满足评标要求且投标价格最低的投标报价，投标报价得分=(基准价／投标报价)×60，四舍五入，保留两位小数。报价高于各项最高限价的，为无效投标文件。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012F"/>
    <w:multiLevelType w:val="singleLevel"/>
    <w:tmpl w:val="5CD701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76"/>
    <w:rsid w:val="000949C1"/>
    <w:rsid w:val="000C2C42"/>
    <w:rsid w:val="000E086D"/>
    <w:rsid w:val="00240479"/>
    <w:rsid w:val="00242295"/>
    <w:rsid w:val="00286FC0"/>
    <w:rsid w:val="003536C1"/>
    <w:rsid w:val="00450825"/>
    <w:rsid w:val="00596B76"/>
    <w:rsid w:val="005B51F2"/>
    <w:rsid w:val="00645D0A"/>
    <w:rsid w:val="006A7835"/>
    <w:rsid w:val="007B54D8"/>
    <w:rsid w:val="008A6F7C"/>
    <w:rsid w:val="008C1968"/>
    <w:rsid w:val="009076FE"/>
    <w:rsid w:val="009215B2"/>
    <w:rsid w:val="009E3DB0"/>
    <w:rsid w:val="00A4609D"/>
    <w:rsid w:val="00BC0E76"/>
    <w:rsid w:val="00D36BFE"/>
    <w:rsid w:val="00F25A86"/>
    <w:rsid w:val="00F7258C"/>
    <w:rsid w:val="2C06727D"/>
    <w:rsid w:val="6ECC0DC2"/>
    <w:rsid w:val="74AD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165</Words>
  <Characters>946</Characters>
  <Lines>7</Lines>
  <Paragraphs>2</Paragraphs>
  <TotalTime>52</TotalTime>
  <ScaleCrop>false</ScaleCrop>
  <LinksUpToDate>false</LinksUpToDate>
  <CharactersWithSpaces>1109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2019-12-03T06:37:00Z</dcterms:created>
  <dc:creator>china</dc:creator>
  <cp:lastModifiedBy>余剑锋</cp:lastModifiedBy>
  <cp:lastPrinted>2019-12-06T08:17:15Z</cp:lastPrinted>
  <dcterms:modified xsi:type="dcterms:W3CDTF">2019-12-06T09:01:37Z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