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市区三衢路、西安路、航埠兴航路、石梁碧云路</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lang w:val="en-US" w:eastAsia="zh-CN"/>
        </w:rPr>
      </w:pPr>
      <w:bookmarkStart w:id="0" w:name="_GoBack"/>
      <w:bookmarkEnd w:id="0"/>
      <w:r>
        <w:rPr>
          <w:rFonts w:hint="eastAsia" w:ascii="方正小标宋简体" w:hAnsi="方正小标宋简体" w:eastAsia="方正小标宋简体" w:cs="方正小标宋简体"/>
          <w:b w:val="0"/>
          <w:bCs/>
          <w:sz w:val="44"/>
          <w:szCs w:val="44"/>
          <w:lang w:val="en-US" w:eastAsia="zh-CN"/>
        </w:rPr>
        <w:t>部分资产公开挂牌</w:t>
      </w:r>
      <w:r>
        <w:rPr>
          <w:rFonts w:hint="eastAsia" w:ascii="方正小标宋简体" w:hAnsi="方正小标宋简体" w:eastAsia="方正小标宋简体" w:cs="方正小标宋简体"/>
          <w:b w:val="0"/>
          <w:bCs/>
          <w:sz w:val="44"/>
          <w:szCs w:val="44"/>
        </w:rPr>
        <w:t>招租</w:t>
      </w:r>
      <w:r>
        <w:rPr>
          <w:rFonts w:hint="eastAsia" w:ascii="方正小标宋简体" w:hAnsi="方正小标宋简体" w:eastAsia="方正小标宋简体" w:cs="方正小标宋简体"/>
          <w:b w:val="0"/>
          <w:bCs/>
          <w:sz w:val="44"/>
          <w:szCs w:val="44"/>
          <w:lang w:eastAsia="zh-CN"/>
        </w:rPr>
        <w:t>清单</w:t>
      </w:r>
    </w:p>
    <w:p>
      <w:pPr>
        <w:keepNext w:val="0"/>
        <w:keepLines w:val="0"/>
        <w:pageBreakBefore w:val="0"/>
        <w:widowControl w:val="0"/>
        <w:kinsoku/>
        <w:wordWrap/>
        <w:overflowPunct/>
        <w:topLinePunct w:val="0"/>
        <w:autoSpaceDE/>
        <w:autoSpaceDN/>
        <w:bidi w:val="0"/>
        <w:adjustRightInd/>
        <w:snapToGrid w:val="0"/>
        <w:spacing w:line="540" w:lineRule="exact"/>
        <w:ind w:left="0" w:leftChars="0" w:right="0" w:rightChars="0" w:firstLine="0" w:firstLineChars="0"/>
        <w:jc w:val="both"/>
        <w:textAlignment w:val="auto"/>
        <w:outlineLvl w:val="9"/>
        <w:rPr>
          <w:rFonts w:hint="eastAsia" w:ascii="宋体" w:hAnsi="宋体"/>
          <w:b/>
          <w:bCs w:val="0"/>
          <w:sz w:val="52"/>
          <w:szCs w:val="52"/>
          <w:lang w:val="en-US" w:eastAsia="zh-CN"/>
        </w:rPr>
      </w:pPr>
    </w:p>
    <w:tbl>
      <w:tblPr>
        <w:tblStyle w:val="3"/>
        <w:tblpPr w:leftFromText="180" w:rightFromText="180" w:vertAnchor="page" w:horzAnchor="page" w:tblpX="1573" w:tblpY="2568"/>
        <w:tblOverlap w:val="never"/>
        <w:tblW w:w="13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3876"/>
        <w:gridCol w:w="1815"/>
        <w:gridCol w:w="1995"/>
        <w:gridCol w:w="1860"/>
        <w:gridCol w:w="1686"/>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54"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shd w:val="clear" w:color="FFFFFF" w:fill="D9D9D9"/>
                <w:lang w:val="en-US" w:eastAsia="zh-CN"/>
              </w:rPr>
            </w:pPr>
            <w:r>
              <w:rPr>
                <w:rFonts w:hint="eastAsia" w:ascii="微软雅黑" w:hAnsi="微软雅黑" w:eastAsia="微软雅黑" w:cs="微软雅黑"/>
                <w:sz w:val="24"/>
                <w:szCs w:val="24"/>
                <w:shd w:val="clear" w:color="FFFFFF" w:fill="D9D9D9"/>
                <w:lang w:val="en-US" w:eastAsia="zh-CN"/>
              </w:rPr>
              <w:t>序号</w:t>
            </w:r>
          </w:p>
        </w:tc>
        <w:tc>
          <w:tcPr>
            <w:tcW w:w="3876"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shd w:val="clear" w:color="auto" w:fill="auto"/>
                <w:lang w:val="en-US" w:eastAsia="zh-CN"/>
              </w:rPr>
            </w:pPr>
            <w:r>
              <w:rPr>
                <w:rFonts w:hint="eastAsia" w:ascii="微软雅黑" w:hAnsi="微软雅黑" w:eastAsia="微软雅黑" w:cs="微软雅黑"/>
                <w:sz w:val="24"/>
                <w:szCs w:val="24"/>
                <w:shd w:val="clear" w:color="auto" w:fill="auto"/>
                <w:lang w:val="en-US" w:eastAsia="zh-CN"/>
              </w:rPr>
              <w:t>标的名称</w:t>
            </w:r>
          </w:p>
        </w:tc>
        <w:tc>
          <w:tcPr>
            <w:tcW w:w="1815"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shd w:val="clear" w:color="auto" w:fill="auto"/>
                <w:lang w:val="en-US" w:eastAsia="zh-CN"/>
              </w:rPr>
            </w:pPr>
            <w:r>
              <w:rPr>
                <w:rFonts w:hint="eastAsia" w:ascii="微软雅黑" w:hAnsi="微软雅黑" w:eastAsia="微软雅黑" w:cs="微软雅黑"/>
                <w:sz w:val="24"/>
                <w:szCs w:val="24"/>
                <w:shd w:val="clear" w:color="auto" w:fill="auto"/>
                <w:lang w:val="en-US" w:eastAsia="zh-CN"/>
              </w:rPr>
              <w:t>租赁期限（年）</w:t>
            </w:r>
          </w:p>
        </w:tc>
        <w:tc>
          <w:tcPr>
            <w:tcW w:w="1995"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面积（㎡）</w:t>
            </w:r>
          </w:p>
        </w:tc>
        <w:tc>
          <w:tcPr>
            <w:tcW w:w="1860"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起挂价（万元）</w:t>
            </w:r>
          </w:p>
        </w:tc>
        <w:tc>
          <w:tcPr>
            <w:tcW w:w="1686"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保证金（元）</w:t>
            </w:r>
          </w:p>
        </w:tc>
        <w:tc>
          <w:tcPr>
            <w:tcW w:w="1864"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增价幅度（元）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54"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shd w:val="clear" w:color="FFFFFF" w:fill="D9D9D9"/>
                <w:lang w:val="en-US" w:eastAsia="zh-CN"/>
              </w:rPr>
            </w:pPr>
            <w:r>
              <w:rPr>
                <w:rFonts w:hint="eastAsia" w:ascii="微软雅黑" w:hAnsi="微软雅黑" w:eastAsia="微软雅黑" w:cs="微软雅黑"/>
                <w:sz w:val="24"/>
                <w:szCs w:val="24"/>
                <w:shd w:val="clear" w:color="FFFFFF" w:fill="D9D9D9"/>
                <w:lang w:val="en-US" w:eastAsia="zh-CN"/>
              </w:rPr>
              <w:t>1</w:t>
            </w:r>
          </w:p>
        </w:tc>
        <w:tc>
          <w:tcPr>
            <w:tcW w:w="3876"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shd w:val="clear" w:color="auto" w:fill="auto"/>
                <w:lang w:val="en-US" w:eastAsia="zh-CN"/>
              </w:rPr>
            </w:pPr>
            <w:r>
              <w:rPr>
                <w:rFonts w:hint="eastAsia" w:ascii="微软雅黑" w:hAnsi="微软雅黑" w:eastAsia="微软雅黑" w:cs="微软雅黑"/>
                <w:sz w:val="24"/>
                <w:szCs w:val="24"/>
                <w:shd w:val="clear" w:color="auto" w:fill="auto"/>
                <w:lang w:val="en-US" w:eastAsia="zh-CN"/>
              </w:rPr>
              <w:t>衢州市三衢路369号</w:t>
            </w:r>
          </w:p>
        </w:tc>
        <w:tc>
          <w:tcPr>
            <w:tcW w:w="1815"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shd w:val="clear" w:color="auto" w:fill="auto"/>
                <w:lang w:val="en-US" w:eastAsia="zh-CN"/>
              </w:rPr>
            </w:pPr>
            <w:r>
              <w:rPr>
                <w:rFonts w:hint="eastAsia" w:ascii="微软雅黑" w:hAnsi="微软雅黑" w:eastAsia="微软雅黑" w:cs="微软雅黑"/>
                <w:sz w:val="24"/>
                <w:szCs w:val="24"/>
                <w:shd w:val="clear" w:color="auto" w:fill="auto"/>
                <w:lang w:val="en-US" w:eastAsia="zh-CN"/>
              </w:rPr>
              <w:t>5</w:t>
            </w:r>
          </w:p>
        </w:tc>
        <w:tc>
          <w:tcPr>
            <w:tcW w:w="1995"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shd w:val="clear" w:color="auto" w:fill="auto"/>
                <w:lang w:val="en-US" w:eastAsia="zh-CN"/>
              </w:rPr>
            </w:pPr>
            <w:r>
              <w:rPr>
                <w:rFonts w:hint="eastAsia" w:ascii="微软雅黑" w:hAnsi="微软雅黑" w:eastAsia="微软雅黑" w:cs="微软雅黑"/>
                <w:sz w:val="24"/>
                <w:szCs w:val="24"/>
                <w:shd w:val="clear" w:color="auto" w:fill="auto"/>
                <w:lang w:val="en-US" w:eastAsia="zh-CN"/>
              </w:rPr>
              <w:t>3689.40</w:t>
            </w:r>
          </w:p>
        </w:tc>
        <w:tc>
          <w:tcPr>
            <w:tcW w:w="1860"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104.17</w:t>
            </w:r>
          </w:p>
        </w:tc>
        <w:tc>
          <w:tcPr>
            <w:tcW w:w="1686"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100000</w:t>
            </w:r>
          </w:p>
        </w:tc>
        <w:tc>
          <w:tcPr>
            <w:tcW w:w="1864"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54"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val="0"/>
                <w:bCs w:val="0"/>
                <w:sz w:val="24"/>
                <w:szCs w:val="24"/>
                <w:lang w:val="en-US" w:eastAsia="zh-CN"/>
              </w:rPr>
              <w:t>2</w:t>
            </w:r>
          </w:p>
        </w:tc>
        <w:tc>
          <w:tcPr>
            <w:tcW w:w="3876"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shd w:val="clear" w:color="auto" w:fill="auto"/>
                <w:lang w:val="en-US" w:eastAsia="zh-CN"/>
              </w:rPr>
            </w:pPr>
            <w:r>
              <w:rPr>
                <w:rFonts w:hint="eastAsia" w:ascii="微软雅黑" w:hAnsi="微软雅黑" w:eastAsia="微软雅黑" w:cs="微软雅黑"/>
                <w:sz w:val="24"/>
                <w:szCs w:val="24"/>
                <w:shd w:val="clear" w:color="auto" w:fill="auto"/>
                <w:lang w:val="en-US" w:eastAsia="zh-CN"/>
              </w:rPr>
              <w:t>衢州市西安路133号</w:t>
            </w:r>
          </w:p>
        </w:tc>
        <w:tc>
          <w:tcPr>
            <w:tcW w:w="1815"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shd w:val="clear" w:color="auto" w:fill="auto"/>
                <w:lang w:val="en-US" w:eastAsia="zh-CN"/>
              </w:rPr>
            </w:pPr>
            <w:r>
              <w:rPr>
                <w:rFonts w:hint="eastAsia" w:ascii="微软雅黑" w:hAnsi="微软雅黑" w:eastAsia="微软雅黑" w:cs="微软雅黑"/>
                <w:sz w:val="24"/>
                <w:szCs w:val="24"/>
                <w:shd w:val="clear" w:color="auto" w:fill="auto"/>
                <w:lang w:val="en-US" w:eastAsia="zh-CN"/>
              </w:rPr>
              <w:t>3</w:t>
            </w:r>
          </w:p>
        </w:tc>
        <w:tc>
          <w:tcPr>
            <w:tcW w:w="1995"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shd w:val="clear" w:color="auto" w:fill="auto"/>
                <w:lang w:val="en-US" w:eastAsia="zh-CN"/>
              </w:rPr>
            </w:pPr>
            <w:r>
              <w:rPr>
                <w:rFonts w:hint="eastAsia" w:ascii="微软雅黑" w:hAnsi="微软雅黑" w:eastAsia="微软雅黑" w:cs="微软雅黑"/>
                <w:sz w:val="24"/>
                <w:szCs w:val="24"/>
                <w:shd w:val="clear" w:color="auto" w:fill="auto"/>
                <w:lang w:val="en-US" w:eastAsia="zh-CN"/>
              </w:rPr>
              <w:t>525.6</w:t>
            </w:r>
          </w:p>
        </w:tc>
        <w:tc>
          <w:tcPr>
            <w:tcW w:w="1860"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17.54</w:t>
            </w:r>
          </w:p>
        </w:tc>
        <w:tc>
          <w:tcPr>
            <w:tcW w:w="1686"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18000</w:t>
            </w:r>
          </w:p>
        </w:tc>
        <w:tc>
          <w:tcPr>
            <w:tcW w:w="1864"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54"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3</w:t>
            </w:r>
          </w:p>
        </w:tc>
        <w:tc>
          <w:tcPr>
            <w:tcW w:w="3876"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shd w:val="clear" w:color="auto" w:fill="auto"/>
                <w:lang w:val="en-US" w:eastAsia="zh-CN"/>
              </w:rPr>
            </w:pPr>
            <w:r>
              <w:rPr>
                <w:rFonts w:hint="eastAsia" w:ascii="微软雅黑" w:hAnsi="微软雅黑" w:eastAsia="微软雅黑" w:cs="微软雅黑"/>
                <w:sz w:val="24"/>
                <w:szCs w:val="24"/>
                <w:shd w:val="clear" w:color="auto" w:fill="auto"/>
                <w:lang w:val="en-US" w:eastAsia="zh-CN"/>
              </w:rPr>
              <w:t>柯城区航埠镇兴航路70号</w:t>
            </w:r>
          </w:p>
        </w:tc>
        <w:tc>
          <w:tcPr>
            <w:tcW w:w="1815"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shd w:val="clear" w:color="auto" w:fill="auto"/>
                <w:lang w:val="en-US" w:eastAsia="zh-CN"/>
              </w:rPr>
            </w:pPr>
            <w:r>
              <w:rPr>
                <w:rFonts w:hint="eastAsia" w:ascii="微软雅黑" w:hAnsi="微软雅黑" w:eastAsia="微软雅黑" w:cs="微软雅黑"/>
                <w:sz w:val="24"/>
                <w:szCs w:val="24"/>
                <w:shd w:val="clear" w:color="auto" w:fill="auto"/>
                <w:lang w:val="en-US" w:eastAsia="zh-CN"/>
              </w:rPr>
              <w:t>3</w:t>
            </w:r>
          </w:p>
        </w:tc>
        <w:tc>
          <w:tcPr>
            <w:tcW w:w="1995"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shd w:val="clear" w:color="auto" w:fill="auto"/>
                <w:lang w:val="en-US" w:eastAsia="zh-CN"/>
              </w:rPr>
            </w:pPr>
            <w:r>
              <w:rPr>
                <w:rFonts w:hint="eastAsia" w:ascii="微软雅黑" w:hAnsi="微软雅黑" w:eastAsia="微软雅黑" w:cs="微软雅黑"/>
                <w:sz w:val="24"/>
                <w:szCs w:val="24"/>
                <w:shd w:val="clear" w:color="auto" w:fill="auto"/>
                <w:lang w:val="en-US" w:eastAsia="zh-CN"/>
              </w:rPr>
              <w:t>614.25</w:t>
            </w:r>
          </w:p>
        </w:tc>
        <w:tc>
          <w:tcPr>
            <w:tcW w:w="1860"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5.8</w:t>
            </w:r>
          </w:p>
        </w:tc>
        <w:tc>
          <w:tcPr>
            <w:tcW w:w="1686"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5800</w:t>
            </w:r>
          </w:p>
        </w:tc>
        <w:tc>
          <w:tcPr>
            <w:tcW w:w="1864"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754"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4</w:t>
            </w:r>
          </w:p>
        </w:tc>
        <w:tc>
          <w:tcPr>
            <w:tcW w:w="3876"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shd w:val="clear" w:color="auto" w:fill="auto"/>
                <w:lang w:val="en-US" w:eastAsia="zh-CN"/>
              </w:rPr>
            </w:pPr>
            <w:r>
              <w:rPr>
                <w:rFonts w:hint="eastAsia" w:ascii="微软雅黑" w:hAnsi="微软雅黑" w:eastAsia="微软雅黑" w:cs="微软雅黑"/>
                <w:sz w:val="24"/>
                <w:szCs w:val="24"/>
                <w:shd w:val="clear" w:color="auto" w:fill="auto"/>
                <w:lang w:val="en-US" w:eastAsia="zh-CN"/>
              </w:rPr>
              <w:t>柯城区石梁镇碧云路副82号</w:t>
            </w:r>
          </w:p>
        </w:tc>
        <w:tc>
          <w:tcPr>
            <w:tcW w:w="1815"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shd w:val="clear" w:color="auto" w:fill="auto"/>
                <w:lang w:val="en-US" w:eastAsia="zh-CN"/>
              </w:rPr>
            </w:pPr>
            <w:r>
              <w:rPr>
                <w:rFonts w:hint="eastAsia" w:ascii="微软雅黑" w:hAnsi="微软雅黑" w:eastAsia="微软雅黑" w:cs="微软雅黑"/>
                <w:sz w:val="24"/>
                <w:szCs w:val="24"/>
                <w:shd w:val="clear" w:color="auto" w:fill="auto"/>
                <w:lang w:val="en-US" w:eastAsia="zh-CN"/>
              </w:rPr>
              <w:t>3</w:t>
            </w:r>
          </w:p>
        </w:tc>
        <w:tc>
          <w:tcPr>
            <w:tcW w:w="1995"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shd w:val="clear" w:color="auto" w:fill="auto"/>
                <w:lang w:val="en-US" w:eastAsia="zh-CN"/>
              </w:rPr>
            </w:pPr>
            <w:r>
              <w:rPr>
                <w:rFonts w:hint="eastAsia" w:ascii="微软雅黑" w:hAnsi="微软雅黑" w:eastAsia="微软雅黑" w:cs="微软雅黑"/>
                <w:sz w:val="24"/>
                <w:szCs w:val="24"/>
                <w:shd w:val="clear" w:color="auto" w:fill="auto"/>
                <w:lang w:val="en-US" w:eastAsia="zh-CN"/>
              </w:rPr>
              <w:t>259.28</w:t>
            </w:r>
          </w:p>
        </w:tc>
        <w:tc>
          <w:tcPr>
            <w:tcW w:w="1860"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1.79</w:t>
            </w:r>
          </w:p>
        </w:tc>
        <w:tc>
          <w:tcPr>
            <w:tcW w:w="1686"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1800</w:t>
            </w:r>
          </w:p>
        </w:tc>
        <w:tc>
          <w:tcPr>
            <w:tcW w:w="1864"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trPr>
        <w:tc>
          <w:tcPr>
            <w:tcW w:w="75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5</w:t>
            </w:r>
          </w:p>
        </w:tc>
        <w:tc>
          <w:tcPr>
            <w:tcW w:w="3876" w:type="dxa"/>
            <w:vAlign w:val="top"/>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shd w:val="clear" w:color="auto" w:fill="auto"/>
                <w:lang w:val="en-US" w:eastAsia="zh-CN"/>
              </w:rPr>
            </w:pPr>
            <w:r>
              <w:rPr>
                <w:rFonts w:hint="eastAsia" w:ascii="微软雅黑" w:hAnsi="微软雅黑" w:eastAsia="微软雅黑" w:cs="微软雅黑"/>
                <w:sz w:val="24"/>
                <w:szCs w:val="24"/>
                <w:shd w:val="clear" w:color="auto" w:fill="auto"/>
                <w:lang w:val="en-US" w:eastAsia="zh-CN"/>
              </w:rPr>
              <w:t>柯城区石梁镇碧云路副82号</w:t>
            </w:r>
          </w:p>
        </w:tc>
        <w:tc>
          <w:tcPr>
            <w:tcW w:w="181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shd w:val="clear" w:color="auto" w:fill="auto"/>
                <w:lang w:val="en-US" w:eastAsia="zh-CN"/>
              </w:rPr>
            </w:pPr>
            <w:r>
              <w:rPr>
                <w:rFonts w:hint="eastAsia" w:ascii="微软雅黑" w:hAnsi="微软雅黑" w:eastAsia="微软雅黑" w:cs="微软雅黑"/>
                <w:sz w:val="24"/>
                <w:szCs w:val="24"/>
                <w:shd w:val="clear" w:color="auto" w:fill="auto"/>
                <w:lang w:val="en-US" w:eastAsia="zh-CN"/>
              </w:rPr>
              <w:t>3</w:t>
            </w:r>
          </w:p>
        </w:tc>
        <w:tc>
          <w:tcPr>
            <w:tcW w:w="1995"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shd w:val="clear" w:color="auto" w:fill="auto"/>
                <w:lang w:val="en-US" w:eastAsia="zh-CN"/>
              </w:rPr>
            </w:pPr>
            <w:r>
              <w:rPr>
                <w:rFonts w:hint="eastAsia" w:ascii="微软雅黑" w:hAnsi="微软雅黑" w:eastAsia="微软雅黑" w:cs="微软雅黑"/>
                <w:sz w:val="24"/>
                <w:szCs w:val="24"/>
                <w:shd w:val="clear" w:color="auto" w:fill="auto"/>
                <w:lang w:val="en-US" w:eastAsia="zh-CN"/>
              </w:rPr>
              <w:t>98.00</w:t>
            </w:r>
          </w:p>
        </w:tc>
        <w:tc>
          <w:tcPr>
            <w:tcW w:w="1860"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2.73</w:t>
            </w:r>
          </w:p>
        </w:tc>
        <w:tc>
          <w:tcPr>
            <w:tcW w:w="1686"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2800</w:t>
            </w:r>
          </w:p>
        </w:tc>
        <w:tc>
          <w:tcPr>
            <w:tcW w:w="1864" w:type="dxa"/>
            <w:vAlign w:val="center"/>
          </w:tcPr>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center"/>
              <w:textAlignment w:val="auto"/>
              <w:outlineLvl w:val="9"/>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280</w:t>
            </w:r>
          </w:p>
        </w:tc>
      </w:tr>
    </w:tbl>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eastAsia="zh-CN"/>
        </w:rPr>
        <w:t>出租对象：社会上能独立承担民事行为能力的法人或自然人。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eastAsia="zh-CN"/>
        </w:rPr>
        <w:t>租期和租金：</w:t>
      </w:r>
      <w:r>
        <w:rPr>
          <w:rFonts w:hint="eastAsia" w:ascii="黑体" w:hAnsi="黑体" w:eastAsia="黑体" w:cs="黑体"/>
          <w:color w:val="000000"/>
          <w:sz w:val="24"/>
          <w:szCs w:val="24"/>
          <w:lang w:val="en-US" w:eastAsia="zh-CN"/>
        </w:rPr>
        <w:t>首年租金按成交价，从第二年起在上一年租金的基础上递增5%。</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黑体" w:hAnsi="黑体" w:eastAsia="黑体" w:cs="黑体"/>
          <w:color w:val="000000"/>
          <w:sz w:val="24"/>
          <w:szCs w:val="24"/>
        </w:rPr>
      </w:pPr>
      <w:r>
        <w:rPr>
          <w:rFonts w:hint="eastAsia" w:ascii="黑体" w:hAnsi="黑体" w:eastAsia="黑体" w:cs="黑体"/>
          <w:color w:val="000000"/>
          <w:sz w:val="24"/>
          <w:szCs w:val="24"/>
        </w:rPr>
        <w:t>特别约定：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黑体" w:hAnsi="黑体" w:eastAsia="黑体" w:cs="黑体"/>
          <w:color w:val="000000"/>
          <w:sz w:val="24"/>
          <w:szCs w:val="24"/>
          <w:lang w:eastAsia="zh-CN"/>
        </w:rPr>
      </w:pPr>
      <w:r>
        <w:rPr>
          <w:rFonts w:hint="eastAsia" w:ascii="黑体" w:hAnsi="黑体" w:eastAsia="黑体" w:cs="黑体"/>
          <w:color w:val="000000"/>
          <w:sz w:val="24"/>
          <w:szCs w:val="24"/>
          <w:lang w:val="en-US" w:eastAsia="zh-CN"/>
        </w:rPr>
        <w:t>1.</w:t>
      </w:r>
      <w:r>
        <w:rPr>
          <w:rFonts w:hint="eastAsia" w:ascii="黑体" w:hAnsi="黑体" w:eastAsia="黑体" w:cs="黑体"/>
          <w:color w:val="000000"/>
          <w:sz w:val="24"/>
          <w:szCs w:val="24"/>
          <w:lang w:eastAsia="zh-CN"/>
        </w:rPr>
        <w:t>首年租金最高者取得租赁权（原承租人享有同价优先权）。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2.出租房屋及其附属设施以现场实地查看为准。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3.所有标的不得用于易燃易爆物品行业，不得从事法律、法规所禁止的事项。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4.标的1租赁期限届满或以任何原因终止本合同时，</w:t>
      </w:r>
      <w:r>
        <w:rPr>
          <w:rFonts w:hint="eastAsia" w:ascii="黑体" w:hAnsi="黑体" w:eastAsia="黑体" w:cs="黑体"/>
          <w:sz w:val="24"/>
          <w:szCs w:val="24"/>
          <w:lang w:eastAsia="zh-CN"/>
        </w:rPr>
        <w:t>承租人应将该房产及其附属设施返还产权单位。对中标人添置的未形成房产附合的设备可由其自行收回</w:t>
      </w:r>
      <w:r>
        <w:rPr>
          <w:rFonts w:hint="eastAsia" w:ascii="黑体" w:hAnsi="黑体" w:eastAsia="黑体" w:cs="黑体"/>
          <w:b/>
          <w:bCs/>
          <w:color w:val="000000"/>
          <w:sz w:val="24"/>
          <w:szCs w:val="24"/>
          <w:lang w:eastAsia="zh-CN"/>
        </w:rPr>
        <w:t>（除乙方装置的临时拆改件、钢结构构件等）</w:t>
      </w:r>
      <w:r>
        <w:rPr>
          <w:rFonts w:hint="eastAsia" w:ascii="黑体" w:hAnsi="黑体" w:eastAsia="黑体" w:cs="黑体"/>
          <w:color w:val="000000"/>
          <w:sz w:val="24"/>
          <w:szCs w:val="24"/>
        </w:rPr>
        <w:t>，但</w:t>
      </w:r>
      <w:r>
        <w:rPr>
          <w:rFonts w:hint="eastAsia" w:ascii="黑体" w:hAnsi="黑体" w:eastAsia="黑体" w:cs="黑体"/>
          <w:sz w:val="24"/>
          <w:szCs w:val="24"/>
          <w:lang w:eastAsia="zh-CN"/>
        </w:rPr>
        <w:t>承租人</w:t>
      </w:r>
      <w:r>
        <w:rPr>
          <w:rFonts w:hint="eastAsia" w:ascii="黑体" w:hAnsi="黑体" w:eastAsia="黑体" w:cs="黑体"/>
          <w:color w:val="000000"/>
          <w:sz w:val="24"/>
          <w:szCs w:val="24"/>
        </w:rPr>
        <w:t>拆除添置的设备时，不得损坏房产、影响</w:t>
      </w:r>
      <w:r>
        <w:rPr>
          <w:rFonts w:hint="eastAsia" w:ascii="黑体" w:hAnsi="黑体" w:eastAsia="黑体" w:cs="黑体"/>
          <w:color w:val="000000"/>
          <w:sz w:val="24"/>
          <w:szCs w:val="24"/>
          <w:lang w:val="en-US" w:eastAsia="zh-CN"/>
        </w:rPr>
        <w:t>产权单位</w:t>
      </w:r>
      <w:r>
        <w:rPr>
          <w:rFonts w:hint="eastAsia" w:ascii="黑体" w:hAnsi="黑体" w:eastAsia="黑体" w:cs="黑体"/>
          <w:color w:val="000000"/>
          <w:sz w:val="24"/>
          <w:szCs w:val="24"/>
        </w:rPr>
        <w:t>出租；对</w:t>
      </w:r>
      <w:r>
        <w:rPr>
          <w:rFonts w:hint="eastAsia" w:ascii="黑体" w:hAnsi="黑体" w:eastAsia="黑体" w:cs="黑体"/>
          <w:sz w:val="24"/>
          <w:szCs w:val="24"/>
          <w:lang w:eastAsia="zh-CN"/>
        </w:rPr>
        <w:t>承租人</w:t>
      </w:r>
      <w:r>
        <w:rPr>
          <w:rFonts w:hint="eastAsia" w:ascii="黑体" w:hAnsi="黑体" w:eastAsia="黑体" w:cs="黑体"/>
          <w:color w:val="000000"/>
          <w:sz w:val="24"/>
          <w:szCs w:val="24"/>
        </w:rPr>
        <w:t>装饰装修部分是否拆除需经双方协商。</w:t>
      </w:r>
      <w:r>
        <w:rPr>
          <w:rFonts w:hint="eastAsia" w:ascii="黑体" w:hAnsi="黑体" w:eastAsia="黑体" w:cs="黑体"/>
          <w:sz w:val="24"/>
          <w:szCs w:val="24"/>
          <w:lang w:eastAsia="zh-CN"/>
        </w:rPr>
        <w:t>承租人</w:t>
      </w:r>
      <w:r>
        <w:rPr>
          <w:rFonts w:hint="eastAsia" w:ascii="黑体" w:hAnsi="黑体" w:eastAsia="黑体" w:cs="黑体"/>
          <w:color w:val="000000"/>
          <w:sz w:val="24"/>
          <w:szCs w:val="24"/>
        </w:rPr>
        <w:t>房产返还后，对于该房产内</w:t>
      </w:r>
      <w:r>
        <w:rPr>
          <w:rFonts w:hint="eastAsia" w:ascii="黑体" w:hAnsi="黑体" w:eastAsia="黑体" w:cs="黑体"/>
          <w:sz w:val="24"/>
          <w:szCs w:val="24"/>
          <w:lang w:eastAsia="zh-CN"/>
        </w:rPr>
        <w:t>承租人</w:t>
      </w:r>
      <w:r>
        <w:rPr>
          <w:rFonts w:hint="eastAsia" w:ascii="黑体" w:hAnsi="黑体" w:eastAsia="黑体" w:cs="黑体"/>
          <w:color w:val="000000"/>
          <w:sz w:val="24"/>
          <w:szCs w:val="24"/>
        </w:rPr>
        <w:t>遗留的物品，将被视作抛弃物，</w:t>
      </w:r>
      <w:r>
        <w:rPr>
          <w:rFonts w:hint="eastAsia" w:ascii="黑体" w:hAnsi="黑体" w:eastAsia="黑体" w:cs="黑体"/>
          <w:color w:val="000000"/>
          <w:sz w:val="24"/>
          <w:szCs w:val="24"/>
          <w:lang w:val="en-US" w:eastAsia="zh-CN"/>
        </w:rPr>
        <w:t>产权单位</w:t>
      </w:r>
      <w:r>
        <w:rPr>
          <w:rFonts w:hint="eastAsia" w:ascii="黑体" w:hAnsi="黑体" w:eastAsia="黑体" w:cs="黑体"/>
          <w:color w:val="000000"/>
          <w:sz w:val="24"/>
          <w:szCs w:val="24"/>
        </w:rPr>
        <w:t>有权处理，由此增加</w:t>
      </w:r>
      <w:r>
        <w:rPr>
          <w:rFonts w:hint="eastAsia" w:ascii="黑体" w:hAnsi="黑体" w:eastAsia="黑体" w:cs="黑体"/>
          <w:color w:val="000000"/>
          <w:sz w:val="24"/>
          <w:szCs w:val="24"/>
          <w:lang w:val="en-US" w:eastAsia="zh-CN"/>
        </w:rPr>
        <w:t>产权单位</w:t>
      </w:r>
      <w:r>
        <w:rPr>
          <w:rFonts w:hint="eastAsia" w:ascii="黑体" w:hAnsi="黑体" w:eastAsia="黑体" w:cs="黑体"/>
          <w:color w:val="000000"/>
          <w:sz w:val="24"/>
          <w:szCs w:val="24"/>
        </w:rPr>
        <w:t>费用支出的，</w:t>
      </w:r>
      <w:r>
        <w:rPr>
          <w:rFonts w:hint="eastAsia" w:ascii="黑体" w:hAnsi="黑体" w:eastAsia="黑体" w:cs="黑体"/>
          <w:sz w:val="24"/>
          <w:szCs w:val="24"/>
          <w:lang w:eastAsia="zh-CN"/>
        </w:rPr>
        <w:t>承租人</w:t>
      </w:r>
      <w:r>
        <w:rPr>
          <w:rFonts w:hint="eastAsia" w:ascii="黑体" w:hAnsi="黑体" w:eastAsia="黑体" w:cs="黑体"/>
          <w:color w:val="000000"/>
          <w:sz w:val="24"/>
          <w:szCs w:val="24"/>
        </w:rPr>
        <w:t>应于赔偿。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right="0" w:rightChars="0" w:firstLine="480" w:firstLineChars="200"/>
        <w:jc w:val="both"/>
        <w:textAlignment w:val="auto"/>
        <w:outlineLvl w:val="9"/>
        <w:rPr>
          <w:rFonts w:hint="eastAsia" w:ascii="黑体" w:hAnsi="黑体" w:eastAsia="黑体" w:cs="黑体"/>
          <w:color w:val="000000"/>
          <w:sz w:val="24"/>
          <w:szCs w:val="24"/>
          <w:lang w:val="en-US" w:eastAsia="zh-CN"/>
        </w:rPr>
      </w:pPr>
      <w:r>
        <w:rPr>
          <w:rFonts w:hint="eastAsia" w:ascii="黑体" w:hAnsi="黑体" w:eastAsia="黑体" w:cs="黑体"/>
          <w:color w:val="000000"/>
          <w:sz w:val="24"/>
          <w:szCs w:val="24"/>
          <w:lang w:val="en-US" w:eastAsia="zh-CN"/>
        </w:rPr>
        <w:t>5.标的３（租赁存续期间，若产权单位另有他用，需解除租赁合同，承租人应自收到产权单位书面通知后一个月内无条件办理完毕退租交房手续，腾空搬离，并在上述期间结清房租、水电费、物业费等税、费；产权单位则应在上述期间内退回剩余租金及租赁保证金。）</w:t>
      </w:r>
    </w:p>
    <w:p/>
    <w:sectPr>
      <w:pgSz w:w="16838" w:h="11906" w:orient="landscape"/>
      <w:pgMar w:top="1406" w:right="1043" w:bottom="952" w:left="121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76BE8"/>
    <w:rsid w:val="134B1119"/>
    <w:rsid w:val="7E876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2019-12-04T08:41:00Z</dcterms:created>
  <dc:creator>admin</dc:creator>
  <cp:lastModifiedBy>admin</cp:lastModifiedBy>
  <dcterms:modified xsi:type="dcterms:W3CDTF">2019-12-04T08:45:41Z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