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1D" w:rsidRDefault="0058081D" w:rsidP="0058081D">
      <w:pPr>
        <w:pStyle w:val="a3"/>
        <w:widowControl w:val="0"/>
        <w:snapToGrid w:val="0"/>
        <w:spacing w:before="0" w:beforeAutospacing="0" w:after="0" w:afterAutospacing="0" w:line="500" w:lineRule="atLeast"/>
        <w:jc w:val="center"/>
        <w:rPr>
          <w:rFonts w:ascii="仿宋_GB2312" w:eastAsia="仿宋_GB2312" w:hAnsi="仿宋_GB2312" w:cs="仿宋_GB2312" w:hint="default"/>
          <w:b/>
          <w:kern w:val="2"/>
          <w:sz w:val="28"/>
          <w:szCs w:val="28"/>
        </w:rPr>
      </w:pPr>
      <w:r>
        <w:rPr>
          <w:rFonts w:ascii="仿宋_GB2312" w:eastAsia="仿宋_GB2312" w:hAnsi="仿宋_GB2312" w:cs="仿宋_GB2312"/>
          <w:b/>
          <w:kern w:val="2"/>
          <w:sz w:val="28"/>
          <w:szCs w:val="28"/>
        </w:rPr>
        <w:t>浙江</w:t>
      </w:r>
      <w:r>
        <w:rPr>
          <w:rFonts w:ascii="仿宋_GB2312" w:eastAsia="仿宋_GB2312" w:hAnsi="仿宋_GB2312" w:cs="仿宋_GB2312" w:hint="default"/>
          <w:b/>
          <w:kern w:val="2"/>
          <w:sz w:val="28"/>
          <w:szCs w:val="28"/>
        </w:rPr>
        <w:t>衢州水业集团有限公司</w:t>
      </w:r>
      <w:r>
        <w:rPr>
          <w:rFonts w:ascii="仿宋_GB2312" w:eastAsia="仿宋_GB2312" w:hAnsi="仿宋_GB2312" w:cs="仿宋_GB2312"/>
          <w:b/>
          <w:kern w:val="2"/>
          <w:sz w:val="28"/>
          <w:szCs w:val="28"/>
        </w:rPr>
        <w:t>氢氧化钙</w:t>
      </w:r>
      <w:r>
        <w:rPr>
          <w:rFonts w:ascii="仿宋_GB2312" w:eastAsia="仿宋_GB2312" w:hAnsi="仿宋_GB2312" w:cs="仿宋_GB2312" w:hint="default"/>
          <w:b/>
          <w:kern w:val="2"/>
          <w:sz w:val="28"/>
          <w:szCs w:val="28"/>
        </w:rPr>
        <w:t>项目</w:t>
      </w:r>
    </w:p>
    <w:p w:rsidR="0058081D" w:rsidRPr="0098196A" w:rsidRDefault="0058081D" w:rsidP="0058081D">
      <w:pPr>
        <w:pStyle w:val="a3"/>
        <w:widowControl w:val="0"/>
        <w:snapToGrid w:val="0"/>
        <w:spacing w:before="0" w:beforeAutospacing="0" w:after="0" w:afterAutospacing="0" w:line="500" w:lineRule="atLeast"/>
        <w:jc w:val="center"/>
        <w:rPr>
          <w:rFonts w:ascii="仿宋_GB2312" w:eastAsia="仿宋_GB2312" w:hAnsi="仿宋_GB2312" w:cs="仿宋_GB2312" w:hint="default"/>
          <w:b/>
          <w:kern w:val="2"/>
          <w:sz w:val="28"/>
          <w:szCs w:val="28"/>
        </w:rPr>
      </w:pPr>
      <w:r w:rsidRPr="0098196A">
        <w:rPr>
          <w:rFonts w:ascii="仿宋_GB2312" w:eastAsia="仿宋_GB2312" w:hAnsi="仿宋_GB2312" w:cs="仿宋_GB2312"/>
          <w:b/>
          <w:kern w:val="2"/>
          <w:sz w:val="28"/>
          <w:szCs w:val="28"/>
        </w:rPr>
        <w:t>采购内容及需求</w:t>
      </w:r>
    </w:p>
    <w:p w:rsidR="0058081D" w:rsidRPr="00072F88" w:rsidRDefault="0058081D" w:rsidP="0058081D">
      <w:pPr>
        <w:spacing w:line="440" w:lineRule="exact"/>
        <w:ind w:firstLineChars="200" w:firstLine="482"/>
        <w:jc w:val="left"/>
        <w:rPr>
          <w:rFonts w:ascii="仿宋" w:eastAsia="仿宋" w:hAnsi="仿宋"/>
          <w:b/>
          <w:color w:val="000000"/>
          <w:sz w:val="24"/>
        </w:rPr>
      </w:pPr>
      <w:r w:rsidRPr="00072F88">
        <w:rPr>
          <w:rFonts w:ascii="仿宋" w:eastAsia="仿宋" w:hAnsi="仿宋" w:hint="eastAsia"/>
          <w:b/>
          <w:color w:val="000000"/>
          <w:sz w:val="24"/>
        </w:rPr>
        <w:t>一</w:t>
      </w:r>
      <w:r w:rsidRPr="00072F88">
        <w:rPr>
          <w:rFonts w:ascii="仿宋" w:eastAsia="仿宋" w:hAnsi="仿宋"/>
          <w:b/>
          <w:color w:val="000000"/>
          <w:sz w:val="24"/>
        </w:rPr>
        <w:t>、</w:t>
      </w:r>
      <w:r>
        <w:rPr>
          <w:rFonts w:ascii="仿宋" w:eastAsia="仿宋" w:hAnsi="仿宋" w:hint="eastAsia"/>
          <w:b/>
          <w:color w:val="000000"/>
          <w:sz w:val="24"/>
        </w:rPr>
        <w:t>采购</w:t>
      </w:r>
      <w:r w:rsidRPr="00072F88">
        <w:rPr>
          <w:rFonts w:ascii="仿宋" w:eastAsia="仿宋" w:hAnsi="仿宋" w:hint="eastAsia"/>
          <w:b/>
          <w:color w:val="000000"/>
          <w:sz w:val="24"/>
        </w:rPr>
        <w:t>内容及范围</w:t>
      </w:r>
    </w:p>
    <w:p w:rsidR="0058081D" w:rsidRDefault="0058081D" w:rsidP="0058081D">
      <w:pPr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1.</w:t>
      </w:r>
      <w:r w:rsidRPr="00072F88">
        <w:rPr>
          <w:rFonts w:ascii="仿宋" w:eastAsia="仿宋" w:hAnsi="仿宋" w:hint="eastAsia"/>
          <w:color w:val="000000"/>
          <w:sz w:val="24"/>
        </w:rPr>
        <w:t>名称：</w:t>
      </w:r>
      <w:r>
        <w:rPr>
          <w:rFonts w:ascii="仿宋" w:eastAsia="仿宋" w:hAnsi="仿宋" w:hint="eastAsia"/>
          <w:color w:val="000000"/>
          <w:sz w:val="24"/>
        </w:rPr>
        <w:t>氢氧化钙</w:t>
      </w:r>
    </w:p>
    <w:p w:rsidR="0058081D" w:rsidRPr="00DC0796" w:rsidRDefault="0058081D" w:rsidP="0058081D">
      <w:pPr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2.</w:t>
      </w:r>
      <w:r w:rsidRPr="00DC0796">
        <w:rPr>
          <w:rFonts w:ascii="仿宋" w:eastAsia="仿宋" w:hAnsi="仿宋" w:hint="eastAsia"/>
          <w:color w:val="000000"/>
          <w:sz w:val="24"/>
        </w:rPr>
        <w:t>外观要求：</w:t>
      </w:r>
      <w:proofErr w:type="gramStart"/>
      <w:r w:rsidRPr="00DC0796">
        <w:rPr>
          <w:rFonts w:ascii="仿宋" w:eastAsia="仿宋" w:hAnsi="仿宋" w:hint="eastAsia"/>
          <w:color w:val="000000"/>
          <w:sz w:val="24"/>
        </w:rPr>
        <w:t>洁白粉</w:t>
      </w:r>
      <w:proofErr w:type="gramEnd"/>
      <w:r w:rsidRPr="00DC0796">
        <w:rPr>
          <w:rFonts w:ascii="仿宋" w:eastAsia="仿宋" w:hAnsi="仿宋" w:hint="eastAsia"/>
          <w:color w:val="000000"/>
          <w:sz w:val="24"/>
        </w:rPr>
        <w:t>细、无结块。</w:t>
      </w:r>
    </w:p>
    <w:p w:rsidR="0058081D" w:rsidRPr="00DC0796" w:rsidRDefault="0058081D" w:rsidP="0058081D">
      <w:pPr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/>
          <w:color w:val="000000"/>
          <w:sz w:val="24"/>
        </w:rPr>
        <w:t>3</w:t>
      </w:r>
      <w:r>
        <w:rPr>
          <w:rFonts w:ascii="仿宋" w:eastAsia="仿宋" w:hAnsi="仿宋" w:hint="eastAsia"/>
          <w:color w:val="000000"/>
          <w:sz w:val="24"/>
        </w:rPr>
        <w:t>.</w:t>
      </w:r>
      <w:r w:rsidRPr="00DC0796">
        <w:rPr>
          <w:rFonts w:ascii="仿宋" w:eastAsia="仿宋" w:hAnsi="仿宋" w:hint="eastAsia"/>
          <w:color w:val="000000"/>
          <w:sz w:val="24"/>
        </w:rPr>
        <w:t>原料要求：</w:t>
      </w:r>
      <w:r w:rsidRPr="00A47B70">
        <w:rPr>
          <w:rFonts w:ascii="仿宋" w:eastAsia="仿宋" w:hAnsi="仿宋" w:hint="eastAsia"/>
          <w:color w:val="000000"/>
          <w:sz w:val="24"/>
        </w:rPr>
        <w:t>氢氧化钙粉末要求符合</w:t>
      </w:r>
      <w:r>
        <w:rPr>
          <w:rFonts w:ascii="仿宋" w:eastAsia="仿宋" w:hAnsi="仿宋"/>
          <w:color w:val="000000"/>
          <w:sz w:val="24"/>
        </w:rPr>
        <w:t>GB</w:t>
      </w:r>
      <w:r>
        <w:rPr>
          <w:rFonts w:ascii="仿宋" w:eastAsia="仿宋" w:hAnsi="仿宋" w:hint="eastAsia"/>
          <w:color w:val="000000"/>
          <w:sz w:val="24"/>
        </w:rPr>
        <w:t>/</w:t>
      </w:r>
      <w:r w:rsidRPr="00A47B70">
        <w:rPr>
          <w:rFonts w:ascii="仿宋" w:eastAsia="仿宋" w:hAnsi="仿宋"/>
          <w:color w:val="000000"/>
          <w:sz w:val="24"/>
        </w:rPr>
        <w:t>T 17218-1998</w:t>
      </w:r>
      <w:r w:rsidRPr="00A47B70">
        <w:rPr>
          <w:rFonts w:ascii="仿宋" w:eastAsia="仿宋" w:hAnsi="仿宋" w:hint="eastAsia"/>
          <w:color w:val="000000"/>
          <w:sz w:val="24"/>
        </w:rPr>
        <w:t>、</w:t>
      </w:r>
      <w:r w:rsidRPr="00A47B70">
        <w:rPr>
          <w:rFonts w:ascii="仿宋" w:eastAsia="仿宋" w:hAnsi="仿宋"/>
          <w:color w:val="000000"/>
          <w:sz w:val="24"/>
        </w:rPr>
        <w:t>GB5749-2006</w:t>
      </w:r>
      <w:r w:rsidRPr="00DC0796">
        <w:rPr>
          <w:rFonts w:ascii="仿宋" w:eastAsia="仿宋" w:hAnsi="仿宋" w:hint="eastAsia"/>
          <w:color w:val="000000"/>
          <w:sz w:val="24"/>
        </w:rPr>
        <w:t>。</w:t>
      </w:r>
    </w:p>
    <w:p w:rsidR="0058081D" w:rsidRPr="00DC0796" w:rsidRDefault="0058081D" w:rsidP="0058081D">
      <w:pPr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/>
          <w:color w:val="000000"/>
          <w:sz w:val="24"/>
        </w:rPr>
        <w:t>4</w:t>
      </w:r>
      <w:r>
        <w:rPr>
          <w:rFonts w:ascii="仿宋" w:eastAsia="仿宋" w:hAnsi="仿宋" w:hint="eastAsia"/>
          <w:color w:val="000000"/>
          <w:sz w:val="24"/>
        </w:rPr>
        <w:t>.供应商须按照采购人</w:t>
      </w:r>
      <w:r w:rsidRPr="00DC0796">
        <w:rPr>
          <w:rFonts w:ascii="仿宋" w:eastAsia="仿宋" w:hAnsi="仿宋" w:hint="eastAsia"/>
          <w:color w:val="000000"/>
          <w:sz w:val="24"/>
        </w:rPr>
        <w:t>指</w:t>
      </w:r>
      <w:r>
        <w:rPr>
          <w:rFonts w:ascii="仿宋" w:eastAsia="仿宋" w:hAnsi="仿宋" w:hint="eastAsia"/>
          <w:color w:val="000000"/>
          <w:sz w:val="24"/>
        </w:rPr>
        <w:t>定的地点和指定时间卸货并灌装到槽罐，卸货费和</w:t>
      </w:r>
      <w:proofErr w:type="gramStart"/>
      <w:r>
        <w:rPr>
          <w:rFonts w:ascii="仿宋" w:eastAsia="仿宋" w:hAnsi="仿宋" w:hint="eastAsia"/>
          <w:color w:val="000000"/>
          <w:sz w:val="24"/>
        </w:rPr>
        <w:t>灌装费</w:t>
      </w:r>
      <w:proofErr w:type="gramEnd"/>
      <w:r>
        <w:rPr>
          <w:rFonts w:ascii="仿宋" w:eastAsia="仿宋" w:hAnsi="仿宋" w:hint="eastAsia"/>
          <w:color w:val="000000"/>
          <w:sz w:val="24"/>
        </w:rPr>
        <w:t>由中标人负责。</w:t>
      </w:r>
    </w:p>
    <w:p w:rsidR="0058081D" w:rsidRPr="00432C13" w:rsidRDefault="0058081D" w:rsidP="0058081D">
      <w:pPr>
        <w:tabs>
          <w:tab w:val="left" w:pos="-360"/>
        </w:tabs>
        <w:spacing w:line="360" w:lineRule="auto"/>
        <w:ind w:firstLineChars="200" w:firstLine="480"/>
        <w:rPr>
          <w:rFonts w:hAnsi="宋体"/>
          <w:color w:val="000000" w:themeColor="text1"/>
          <w:szCs w:val="21"/>
        </w:rPr>
      </w:pPr>
      <w:r w:rsidRPr="00432C13">
        <w:rPr>
          <w:rFonts w:ascii="仿宋" w:eastAsia="仿宋" w:hAnsi="仿宋"/>
          <w:color w:val="000000" w:themeColor="text1"/>
          <w:sz w:val="24"/>
        </w:rPr>
        <w:t>5.</w:t>
      </w:r>
      <w:r w:rsidRPr="00432C13">
        <w:rPr>
          <w:rFonts w:ascii="仿宋" w:eastAsia="仿宋" w:hAnsi="仿宋" w:hint="eastAsia"/>
          <w:color w:val="000000" w:themeColor="text1"/>
          <w:sz w:val="24"/>
        </w:rPr>
        <w:t>具体</w:t>
      </w:r>
      <w:r w:rsidRPr="00432C13">
        <w:rPr>
          <w:rFonts w:ascii="仿宋" w:eastAsia="仿宋" w:hAnsi="仿宋"/>
          <w:color w:val="000000" w:themeColor="text1"/>
          <w:sz w:val="24"/>
        </w:rPr>
        <w:t>指标</w:t>
      </w:r>
      <w:r w:rsidRPr="00432C13">
        <w:rPr>
          <w:rFonts w:ascii="仿宋" w:eastAsia="仿宋" w:hAnsi="仿宋" w:hint="eastAsia"/>
          <w:color w:val="000000" w:themeColor="text1"/>
          <w:sz w:val="24"/>
        </w:rPr>
        <w:t>：</w:t>
      </w:r>
      <w:r w:rsidRPr="00432C13">
        <w:rPr>
          <w:rFonts w:ascii="仿宋" w:eastAsia="仿宋" w:hAnsi="仿宋"/>
          <w:color w:val="000000" w:themeColor="text1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5122"/>
        <w:gridCol w:w="2989"/>
      </w:tblGrid>
      <w:tr w:rsidR="0058081D" w:rsidRPr="00BB738A" w:rsidTr="00E05802">
        <w:tc>
          <w:tcPr>
            <w:tcW w:w="870" w:type="dxa"/>
          </w:tcPr>
          <w:p w:rsidR="0058081D" w:rsidRPr="00BB738A" w:rsidRDefault="0058081D" w:rsidP="00E05802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</w:rPr>
              <w:t>序号</w:t>
            </w:r>
          </w:p>
        </w:tc>
        <w:tc>
          <w:tcPr>
            <w:tcW w:w="5122" w:type="dxa"/>
          </w:tcPr>
          <w:p w:rsidR="0058081D" w:rsidRPr="00BB738A" w:rsidRDefault="0058081D" w:rsidP="00E0580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</w:rPr>
              <w:t>指标名称</w:t>
            </w:r>
          </w:p>
        </w:tc>
        <w:tc>
          <w:tcPr>
            <w:tcW w:w="2989" w:type="dxa"/>
          </w:tcPr>
          <w:p w:rsidR="0058081D" w:rsidRPr="00BB738A" w:rsidRDefault="0058081D" w:rsidP="00E0580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</w:rPr>
              <w:t>指标值(百分比)</w:t>
            </w:r>
          </w:p>
        </w:tc>
      </w:tr>
      <w:tr w:rsidR="0058081D" w:rsidRPr="00BB738A" w:rsidTr="00E05802">
        <w:tc>
          <w:tcPr>
            <w:tcW w:w="870" w:type="dxa"/>
          </w:tcPr>
          <w:p w:rsidR="0058081D" w:rsidRPr="00BB738A" w:rsidRDefault="0058081D" w:rsidP="00E05802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5122" w:type="dxa"/>
          </w:tcPr>
          <w:p w:rsidR="0058081D" w:rsidRPr="00BB738A" w:rsidRDefault="0058081D" w:rsidP="00E05802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</w:rPr>
              <w:t>氢氧化钙</w:t>
            </w:r>
            <w:proofErr w:type="spellStart"/>
            <w:r w:rsidRPr="00BB738A">
              <w:rPr>
                <w:rFonts w:ascii="仿宋" w:eastAsia="仿宋" w:hAnsi="仿宋" w:hint="eastAsia"/>
                <w:color w:val="000000"/>
                <w:sz w:val="24"/>
              </w:rPr>
              <w:t>Ca</w:t>
            </w:r>
            <w:proofErr w:type="spellEnd"/>
            <w:r w:rsidRPr="00BB738A">
              <w:rPr>
                <w:rFonts w:ascii="仿宋" w:eastAsia="仿宋" w:hAnsi="仿宋" w:hint="eastAsia"/>
                <w:color w:val="000000"/>
                <w:sz w:val="24"/>
              </w:rPr>
              <w:t>（OH）</w:t>
            </w:r>
            <w:r w:rsidRPr="00BB738A">
              <w:rPr>
                <w:rFonts w:ascii="Cambria Math" w:eastAsia="仿宋" w:hAnsi="Cambria Math" w:cs="Cambria Math"/>
                <w:color w:val="000000"/>
                <w:sz w:val="24"/>
                <w:shd w:val="clear" w:color="auto" w:fill="FFFFFF"/>
              </w:rPr>
              <w:t>₂</w:t>
            </w:r>
            <w:r w:rsidRPr="00BB738A">
              <w:rPr>
                <w:rFonts w:ascii="仿宋" w:eastAsia="仿宋" w:hAnsi="仿宋" w:hint="eastAsia"/>
                <w:color w:val="000000"/>
                <w:sz w:val="24"/>
              </w:rPr>
              <w:t>含量／％</w:t>
            </w:r>
          </w:p>
        </w:tc>
        <w:tc>
          <w:tcPr>
            <w:tcW w:w="2989" w:type="dxa"/>
          </w:tcPr>
          <w:p w:rsidR="0058081D" w:rsidRPr="00BB738A" w:rsidRDefault="0058081D" w:rsidP="00E0580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</w:rPr>
              <w:t>≥90</w:t>
            </w:r>
          </w:p>
        </w:tc>
      </w:tr>
      <w:tr w:rsidR="0058081D" w:rsidRPr="00BB738A" w:rsidTr="00E05802">
        <w:tc>
          <w:tcPr>
            <w:tcW w:w="870" w:type="dxa"/>
          </w:tcPr>
          <w:p w:rsidR="0058081D" w:rsidRPr="00BB738A" w:rsidRDefault="0058081D" w:rsidP="00E05802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5122" w:type="dxa"/>
          </w:tcPr>
          <w:p w:rsidR="0058081D" w:rsidRPr="00BB738A" w:rsidRDefault="0058081D" w:rsidP="00E05802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</w:rPr>
              <w:t>盐酸不溶物／％</w:t>
            </w:r>
          </w:p>
        </w:tc>
        <w:tc>
          <w:tcPr>
            <w:tcW w:w="2989" w:type="dxa"/>
          </w:tcPr>
          <w:p w:rsidR="0058081D" w:rsidRPr="00BB738A" w:rsidRDefault="0058081D" w:rsidP="00E0580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</w:rPr>
              <w:t>≤0.8</w:t>
            </w:r>
          </w:p>
        </w:tc>
      </w:tr>
      <w:tr w:rsidR="0058081D" w:rsidRPr="00BB738A" w:rsidTr="00E05802">
        <w:tc>
          <w:tcPr>
            <w:tcW w:w="870" w:type="dxa"/>
          </w:tcPr>
          <w:p w:rsidR="0058081D" w:rsidRPr="00BB738A" w:rsidRDefault="0058081D" w:rsidP="00E05802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5122" w:type="dxa"/>
          </w:tcPr>
          <w:p w:rsidR="0058081D" w:rsidRPr="00BB738A" w:rsidRDefault="0058081D" w:rsidP="00E05802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</w:rPr>
              <w:t>细度（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200目</w:t>
            </w:r>
            <w:r w:rsidRPr="00BB738A">
              <w:rPr>
                <w:rFonts w:ascii="仿宋" w:eastAsia="仿宋" w:hAnsi="仿宋" w:hint="eastAsia"/>
                <w:color w:val="000000"/>
                <w:sz w:val="24"/>
              </w:rPr>
              <w:t>）／％</w:t>
            </w:r>
          </w:p>
        </w:tc>
        <w:tc>
          <w:tcPr>
            <w:tcW w:w="2989" w:type="dxa"/>
          </w:tcPr>
          <w:p w:rsidR="0058081D" w:rsidRPr="00BB738A" w:rsidRDefault="0058081D" w:rsidP="00E0580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</w:rPr>
              <w:t>≤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95</w:t>
            </w:r>
          </w:p>
        </w:tc>
      </w:tr>
      <w:tr w:rsidR="0058081D" w:rsidRPr="00BB738A" w:rsidTr="00E05802">
        <w:tc>
          <w:tcPr>
            <w:tcW w:w="870" w:type="dxa"/>
          </w:tcPr>
          <w:p w:rsidR="0058081D" w:rsidRPr="00BB738A" w:rsidRDefault="0058081D" w:rsidP="00E05802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5122" w:type="dxa"/>
          </w:tcPr>
          <w:p w:rsidR="0058081D" w:rsidRPr="00BB738A" w:rsidRDefault="0058081D" w:rsidP="00E05802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</w:rPr>
              <w:t>含水率／％</w:t>
            </w:r>
          </w:p>
        </w:tc>
        <w:tc>
          <w:tcPr>
            <w:tcW w:w="2989" w:type="dxa"/>
          </w:tcPr>
          <w:p w:rsidR="0058081D" w:rsidRPr="00BB738A" w:rsidRDefault="0058081D" w:rsidP="00E0580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</w:rPr>
              <w:t>≤2.0</w:t>
            </w:r>
          </w:p>
        </w:tc>
      </w:tr>
    </w:tbl>
    <w:p w:rsidR="0058081D" w:rsidRPr="00BB738A" w:rsidRDefault="0058081D" w:rsidP="0058081D">
      <w:pPr>
        <w:spacing w:line="360" w:lineRule="auto"/>
        <w:rPr>
          <w:rFonts w:ascii="仿宋" w:eastAsia="仿宋" w:hAnsi="仿宋"/>
          <w:color w:val="000000"/>
          <w:sz w:val="24"/>
        </w:rPr>
      </w:pPr>
      <w:r w:rsidRPr="00BB738A">
        <w:rPr>
          <w:rFonts w:ascii="仿宋" w:eastAsia="仿宋" w:hAnsi="仿宋" w:hint="eastAsia"/>
          <w:color w:val="000000"/>
          <w:sz w:val="24"/>
        </w:rPr>
        <w:t xml:space="preserve"> </w:t>
      </w:r>
    </w:p>
    <w:p w:rsidR="0058081D" w:rsidRPr="00BB738A" w:rsidRDefault="0058081D" w:rsidP="0058081D">
      <w:pPr>
        <w:spacing w:line="360" w:lineRule="auto"/>
        <w:ind w:firstLineChars="250" w:firstLine="60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重金属指标</w:t>
      </w:r>
      <w:r w:rsidRPr="00BB738A">
        <w:rPr>
          <w:rFonts w:ascii="仿宋" w:eastAsia="仿宋" w:hAnsi="仿宋" w:hint="eastAsia"/>
          <w:color w:val="000000"/>
          <w:sz w:val="24"/>
        </w:rPr>
        <w:t>要求：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320"/>
      </w:tblGrid>
      <w:tr w:rsidR="0058081D" w:rsidRPr="00BB738A" w:rsidTr="00E05802">
        <w:trPr>
          <w:cantSplit/>
          <w:trHeight w:val="5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D" w:rsidRPr="00BB738A" w:rsidRDefault="0058081D" w:rsidP="00E05802">
            <w:pPr>
              <w:pStyle w:val="a7"/>
              <w:spacing w:line="530" w:lineRule="exact"/>
              <w:ind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检测项目名称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D" w:rsidRPr="00BB738A" w:rsidRDefault="0058081D" w:rsidP="00E05802">
            <w:pPr>
              <w:pStyle w:val="a7"/>
              <w:spacing w:line="530" w:lineRule="exact"/>
              <w:ind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标准要求</w:t>
            </w:r>
          </w:p>
        </w:tc>
      </w:tr>
      <w:tr w:rsidR="0058081D" w:rsidRPr="00BB738A" w:rsidTr="00E05802">
        <w:trPr>
          <w:cantSplit/>
          <w:trHeight w:val="5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D" w:rsidRPr="00BB738A" w:rsidRDefault="0058081D" w:rsidP="00E05802">
            <w:pPr>
              <w:pStyle w:val="a7"/>
              <w:tabs>
                <w:tab w:val="left" w:pos="3852"/>
              </w:tabs>
              <w:spacing w:line="530" w:lineRule="exact"/>
              <w:ind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砷（增加量）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D" w:rsidRPr="00BB738A" w:rsidRDefault="0058081D" w:rsidP="00E05802">
            <w:pPr>
              <w:pStyle w:val="a7"/>
              <w:spacing w:line="530" w:lineRule="exact"/>
              <w:ind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≤0.001 mg/L</w:t>
            </w:r>
          </w:p>
        </w:tc>
      </w:tr>
      <w:tr w:rsidR="0058081D" w:rsidRPr="00BB738A" w:rsidTr="00E05802">
        <w:trPr>
          <w:cantSplit/>
          <w:trHeight w:val="5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D" w:rsidRPr="00BB738A" w:rsidRDefault="0058081D" w:rsidP="00E05802">
            <w:pPr>
              <w:pStyle w:val="a7"/>
              <w:spacing w:line="530" w:lineRule="exact"/>
              <w:ind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镉（增加量）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D" w:rsidRPr="00BB738A" w:rsidRDefault="0058081D" w:rsidP="00E05802">
            <w:pPr>
              <w:pStyle w:val="a7"/>
              <w:spacing w:line="530" w:lineRule="exact"/>
              <w:ind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≤0.0005mg/L</w:t>
            </w:r>
          </w:p>
        </w:tc>
      </w:tr>
      <w:tr w:rsidR="0058081D" w:rsidRPr="00BB738A" w:rsidTr="00E05802">
        <w:trPr>
          <w:cantSplit/>
          <w:trHeight w:val="5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D" w:rsidRPr="00BB738A" w:rsidRDefault="0058081D" w:rsidP="00E05802">
            <w:pPr>
              <w:pStyle w:val="a7"/>
              <w:spacing w:line="530" w:lineRule="exact"/>
              <w:ind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BB73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铬六价</w:t>
            </w:r>
            <w:proofErr w:type="gramEnd"/>
            <w:r w:rsidRPr="00BB73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（增加量）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D" w:rsidRPr="00BB738A" w:rsidRDefault="0058081D" w:rsidP="00E05802">
            <w:pPr>
              <w:pStyle w:val="a7"/>
              <w:spacing w:line="530" w:lineRule="exact"/>
              <w:ind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≤0.005 mg/L</w:t>
            </w:r>
          </w:p>
        </w:tc>
      </w:tr>
      <w:tr w:rsidR="0058081D" w:rsidRPr="00BB738A" w:rsidTr="00E05802">
        <w:trPr>
          <w:cantSplit/>
          <w:trHeight w:val="5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D" w:rsidRPr="00BB738A" w:rsidRDefault="0058081D" w:rsidP="00E05802">
            <w:pPr>
              <w:pStyle w:val="a7"/>
              <w:spacing w:line="530" w:lineRule="exact"/>
              <w:ind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铅（增加量）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D" w:rsidRPr="00BB738A" w:rsidRDefault="0058081D" w:rsidP="00E05802">
            <w:pPr>
              <w:pStyle w:val="a7"/>
              <w:spacing w:line="530" w:lineRule="exact"/>
              <w:ind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≤0.001 mg/L</w:t>
            </w:r>
          </w:p>
        </w:tc>
      </w:tr>
      <w:tr w:rsidR="0058081D" w:rsidRPr="00BB738A" w:rsidTr="00E05802">
        <w:trPr>
          <w:cantSplit/>
          <w:trHeight w:val="5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D" w:rsidRPr="00BB738A" w:rsidRDefault="0058081D" w:rsidP="00E05802">
            <w:pPr>
              <w:pStyle w:val="a7"/>
              <w:spacing w:line="530" w:lineRule="exact"/>
              <w:ind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汞（增加量）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D" w:rsidRPr="00BB738A" w:rsidRDefault="0058081D" w:rsidP="00E05802">
            <w:pPr>
              <w:pStyle w:val="a7"/>
              <w:spacing w:line="530" w:lineRule="exact"/>
              <w:ind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≤0.0002 mg/L</w:t>
            </w:r>
          </w:p>
        </w:tc>
      </w:tr>
      <w:tr w:rsidR="0058081D" w:rsidRPr="00BB738A" w:rsidTr="00E05802">
        <w:trPr>
          <w:cantSplit/>
          <w:trHeight w:val="5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D" w:rsidRPr="00BB738A" w:rsidRDefault="0058081D" w:rsidP="00E05802">
            <w:pPr>
              <w:pStyle w:val="a7"/>
              <w:spacing w:line="530" w:lineRule="exact"/>
              <w:ind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银（增加量）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D" w:rsidRPr="00BB738A" w:rsidRDefault="0058081D" w:rsidP="00E05802">
            <w:pPr>
              <w:pStyle w:val="a7"/>
              <w:spacing w:line="530" w:lineRule="exact"/>
              <w:ind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≤0.005 mg/L</w:t>
            </w:r>
          </w:p>
        </w:tc>
      </w:tr>
      <w:tr w:rsidR="0058081D" w:rsidRPr="00BB738A" w:rsidTr="00E05802">
        <w:trPr>
          <w:cantSplit/>
          <w:trHeight w:val="5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D" w:rsidRPr="00BB738A" w:rsidRDefault="0058081D" w:rsidP="00E05802">
            <w:pPr>
              <w:pStyle w:val="a7"/>
              <w:spacing w:line="530" w:lineRule="exact"/>
              <w:ind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硒（增加量）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D" w:rsidRPr="00BB738A" w:rsidRDefault="0058081D" w:rsidP="00E05802">
            <w:pPr>
              <w:pStyle w:val="a7"/>
              <w:spacing w:line="530" w:lineRule="exact"/>
              <w:ind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B73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≤0.001 mg/L</w:t>
            </w:r>
          </w:p>
        </w:tc>
      </w:tr>
    </w:tbl>
    <w:p w:rsidR="0058081D" w:rsidRDefault="0058081D" w:rsidP="0058081D">
      <w:pPr>
        <w:spacing w:line="440" w:lineRule="exact"/>
        <w:jc w:val="left"/>
        <w:rPr>
          <w:rFonts w:ascii="仿宋" w:eastAsia="仿宋" w:hAnsi="仿宋"/>
          <w:color w:val="000000"/>
          <w:sz w:val="24"/>
        </w:rPr>
      </w:pPr>
    </w:p>
    <w:p w:rsidR="0058081D" w:rsidRPr="00072F88" w:rsidRDefault="0058081D" w:rsidP="0058081D">
      <w:pPr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6.</w:t>
      </w:r>
      <w:r w:rsidRPr="00072F88">
        <w:rPr>
          <w:rFonts w:ascii="仿宋" w:eastAsia="仿宋" w:hAnsi="仿宋"/>
          <w:color w:val="000000"/>
          <w:sz w:val="24"/>
        </w:rPr>
        <w:t>供货量</w:t>
      </w:r>
      <w:r w:rsidRPr="00072F88">
        <w:rPr>
          <w:rFonts w:ascii="仿宋" w:eastAsia="仿宋" w:hAnsi="仿宋" w:hint="eastAsia"/>
          <w:color w:val="000000"/>
          <w:sz w:val="24"/>
        </w:rPr>
        <w:t>：预算金额约</w:t>
      </w:r>
      <w:r>
        <w:rPr>
          <w:rFonts w:ascii="仿宋" w:eastAsia="仿宋" w:hAnsi="仿宋"/>
          <w:color w:val="000000"/>
          <w:sz w:val="24"/>
        </w:rPr>
        <w:t>22.8</w:t>
      </w:r>
      <w:r w:rsidRPr="00C6143D">
        <w:rPr>
          <w:rFonts w:ascii="仿宋" w:eastAsia="仿宋" w:hAnsi="仿宋" w:hint="eastAsia"/>
          <w:color w:val="000000"/>
          <w:sz w:val="24"/>
        </w:rPr>
        <w:t>万元</w:t>
      </w:r>
      <w:r w:rsidRPr="00072F88">
        <w:rPr>
          <w:rFonts w:ascii="仿宋" w:eastAsia="仿宋" w:hAnsi="仿宋" w:hint="eastAsia"/>
          <w:color w:val="000000"/>
          <w:sz w:val="24"/>
        </w:rPr>
        <w:t>，</w:t>
      </w:r>
      <w:r w:rsidRPr="00072F88">
        <w:rPr>
          <w:rFonts w:ascii="仿宋" w:eastAsia="仿宋" w:hAnsi="仿宋"/>
          <w:color w:val="000000"/>
          <w:sz w:val="24"/>
        </w:rPr>
        <w:t>每年用量约</w:t>
      </w:r>
      <w:r>
        <w:rPr>
          <w:rFonts w:ascii="仿宋" w:eastAsia="仿宋" w:hAnsi="仿宋"/>
          <w:color w:val="000000"/>
          <w:sz w:val="24"/>
        </w:rPr>
        <w:t>190</w:t>
      </w:r>
      <w:r>
        <w:rPr>
          <w:rFonts w:ascii="仿宋" w:eastAsia="仿宋" w:hAnsi="仿宋" w:hint="eastAsia"/>
          <w:color w:val="000000"/>
          <w:sz w:val="24"/>
        </w:rPr>
        <w:t>吨。分批供货，每次供货根据采购人的实际采供计划，最终供货量按采购</w:t>
      </w:r>
      <w:r w:rsidRPr="00072F88">
        <w:rPr>
          <w:rFonts w:ascii="仿宋" w:eastAsia="仿宋" w:hAnsi="仿宋" w:hint="eastAsia"/>
          <w:color w:val="000000"/>
          <w:sz w:val="24"/>
        </w:rPr>
        <w:t>人实际生产需求确定。</w:t>
      </w:r>
    </w:p>
    <w:p w:rsidR="0058081D" w:rsidRPr="00072F88" w:rsidRDefault="0058081D" w:rsidP="0058081D">
      <w:pPr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/>
          <w:color w:val="000000"/>
          <w:sz w:val="24"/>
        </w:rPr>
        <w:t>7.</w:t>
      </w:r>
      <w:r w:rsidRPr="00072F88">
        <w:rPr>
          <w:rFonts w:ascii="仿宋" w:eastAsia="仿宋" w:hAnsi="仿宋" w:hint="eastAsia"/>
          <w:color w:val="000000"/>
          <w:sz w:val="24"/>
        </w:rPr>
        <w:t>服务：提供标的物的采购、装卸、运输、</w:t>
      </w:r>
      <w:r w:rsidRPr="00072F88">
        <w:rPr>
          <w:rFonts w:ascii="仿宋" w:eastAsia="仿宋" w:hAnsi="仿宋" w:cs="Arial" w:hint="eastAsia"/>
          <w:color w:val="000000"/>
          <w:sz w:val="24"/>
        </w:rPr>
        <w:t>产品保护、售后、产品</w:t>
      </w:r>
      <w:r>
        <w:rPr>
          <w:rFonts w:ascii="仿宋" w:eastAsia="仿宋" w:hAnsi="仿宋" w:cs="Arial" w:hint="eastAsia"/>
          <w:color w:val="000000"/>
          <w:sz w:val="24"/>
        </w:rPr>
        <w:t>检测、</w:t>
      </w:r>
      <w:r>
        <w:rPr>
          <w:rFonts w:ascii="仿宋" w:eastAsia="仿宋" w:hAnsi="仿宋" w:cs="Arial" w:hint="eastAsia"/>
          <w:color w:val="000000"/>
          <w:sz w:val="24"/>
        </w:rPr>
        <w:lastRenderedPageBreak/>
        <w:t>缺陷调查等服务以及供应商</w:t>
      </w:r>
      <w:r w:rsidRPr="00072F88">
        <w:rPr>
          <w:rFonts w:ascii="仿宋" w:eastAsia="仿宋" w:hAnsi="仿宋" w:cs="Arial" w:hint="eastAsia"/>
          <w:color w:val="000000"/>
          <w:sz w:val="24"/>
        </w:rPr>
        <w:t>承诺的其他服务。</w:t>
      </w:r>
    </w:p>
    <w:p w:rsidR="0058081D" w:rsidRPr="00072F88" w:rsidRDefault="0058081D" w:rsidP="0058081D">
      <w:pPr>
        <w:spacing w:line="440" w:lineRule="exact"/>
        <w:ind w:firstLineChars="200" w:firstLine="482"/>
        <w:jc w:val="left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二</w:t>
      </w:r>
      <w:r>
        <w:rPr>
          <w:rFonts w:ascii="仿宋" w:eastAsia="仿宋" w:hAnsi="仿宋"/>
          <w:b/>
          <w:color w:val="000000"/>
          <w:sz w:val="24"/>
        </w:rPr>
        <w:t>、</w:t>
      </w:r>
      <w:r>
        <w:rPr>
          <w:rFonts w:ascii="仿宋" w:eastAsia="仿宋" w:hAnsi="仿宋" w:hint="eastAsia"/>
          <w:b/>
          <w:color w:val="000000"/>
          <w:sz w:val="24"/>
        </w:rPr>
        <w:t>★</w:t>
      </w:r>
      <w:r w:rsidRPr="00072F88">
        <w:rPr>
          <w:rFonts w:ascii="仿宋" w:eastAsia="仿宋" w:hAnsi="仿宋" w:hint="eastAsia"/>
          <w:b/>
          <w:color w:val="000000"/>
          <w:sz w:val="24"/>
        </w:rPr>
        <w:t>供货要求：</w:t>
      </w:r>
    </w:p>
    <w:p w:rsidR="0058081D" w:rsidRDefault="0058081D" w:rsidP="0058081D">
      <w:pPr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1.供货质量、包装及货源：供应商</w:t>
      </w:r>
      <w:r w:rsidRPr="00072F88">
        <w:rPr>
          <w:rFonts w:ascii="仿宋" w:eastAsia="仿宋" w:hAnsi="仿宋" w:hint="eastAsia"/>
          <w:color w:val="000000"/>
          <w:sz w:val="24"/>
        </w:rPr>
        <w:t>提供的</w:t>
      </w:r>
      <w:r>
        <w:rPr>
          <w:rFonts w:ascii="仿宋" w:eastAsia="仿宋" w:hAnsi="仿宋" w:hint="eastAsia"/>
          <w:color w:val="000000"/>
          <w:sz w:val="24"/>
        </w:rPr>
        <w:t>氢氧化钙</w:t>
      </w:r>
      <w:r w:rsidRPr="00072F88">
        <w:rPr>
          <w:rFonts w:ascii="仿宋" w:eastAsia="仿宋" w:hAnsi="仿宋" w:hint="eastAsia"/>
          <w:color w:val="000000"/>
          <w:sz w:val="24"/>
        </w:rPr>
        <w:t>必须</w:t>
      </w:r>
      <w:r w:rsidRPr="007931C6">
        <w:rPr>
          <w:rFonts w:ascii="仿宋" w:eastAsia="仿宋" w:hAnsi="仿宋" w:hint="eastAsia"/>
          <w:color w:val="000000"/>
          <w:sz w:val="24"/>
        </w:rPr>
        <w:t>符合</w:t>
      </w:r>
      <w:r>
        <w:rPr>
          <w:rFonts w:ascii="仿宋" w:eastAsia="仿宋" w:hAnsi="仿宋" w:hint="eastAsia"/>
          <w:color w:val="000000"/>
          <w:sz w:val="24"/>
        </w:rPr>
        <w:t>《</w:t>
      </w:r>
      <w:r w:rsidRPr="00461840">
        <w:rPr>
          <w:rFonts w:ascii="仿宋" w:eastAsia="仿宋" w:hAnsi="仿宋" w:hint="eastAsia"/>
          <w:color w:val="000000"/>
          <w:sz w:val="24"/>
        </w:rPr>
        <w:t>饮用水化学处理剂卫生安全性评价</w:t>
      </w:r>
      <w:r>
        <w:rPr>
          <w:rFonts w:ascii="仿宋" w:eastAsia="仿宋" w:hAnsi="仿宋"/>
          <w:color w:val="000000"/>
          <w:sz w:val="24"/>
        </w:rPr>
        <w:t>GB</w:t>
      </w:r>
      <w:r>
        <w:rPr>
          <w:rFonts w:ascii="仿宋" w:eastAsia="仿宋" w:hAnsi="仿宋" w:hint="eastAsia"/>
          <w:color w:val="000000"/>
          <w:sz w:val="24"/>
        </w:rPr>
        <w:t>/</w:t>
      </w:r>
      <w:r w:rsidRPr="00A47B70">
        <w:rPr>
          <w:rFonts w:ascii="仿宋" w:eastAsia="仿宋" w:hAnsi="仿宋"/>
          <w:color w:val="000000"/>
          <w:sz w:val="24"/>
        </w:rPr>
        <w:t>T 17218-1998</w:t>
      </w:r>
      <w:r>
        <w:rPr>
          <w:rFonts w:ascii="仿宋" w:eastAsia="仿宋" w:hAnsi="仿宋" w:hint="eastAsia"/>
          <w:color w:val="000000"/>
          <w:sz w:val="24"/>
        </w:rPr>
        <w:t>》</w:t>
      </w:r>
      <w:r w:rsidRPr="00A47B70">
        <w:rPr>
          <w:rFonts w:ascii="仿宋" w:eastAsia="仿宋" w:hAnsi="仿宋" w:hint="eastAsia"/>
          <w:color w:val="000000"/>
          <w:sz w:val="24"/>
        </w:rPr>
        <w:t>、</w:t>
      </w:r>
      <w:r>
        <w:rPr>
          <w:rFonts w:ascii="仿宋" w:eastAsia="仿宋" w:hAnsi="仿宋" w:hint="eastAsia"/>
          <w:color w:val="000000"/>
          <w:sz w:val="24"/>
        </w:rPr>
        <w:t>《</w:t>
      </w:r>
      <w:hyperlink r:id="rId6" w:tgtFrame="_blank" w:history="1">
        <w:r w:rsidRPr="00461840">
          <w:rPr>
            <w:rFonts w:ascii="仿宋" w:eastAsia="仿宋" w:hAnsi="仿宋"/>
            <w:bCs/>
            <w:color w:val="000000"/>
            <w:sz w:val="24"/>
          </w:rPr>
          <w:t>生活饮用水卫生标准</w:t>
        </w:r>
      </w:hyperlink>
      <w:r w:rsidRPr="00A47B70">
        <w:rPr>
          <w:rFonts w:ascii="仿宋" w:eastAsia="仿宋" w:hAnsi="仿宋"/>
          <w:color w:val="000000"/>
          <w:sz w:val="24"/>
        </w:rPr>
        <w:t>GB5749-2006</w:t>
      </w:r>
      <w:r>
        <w:rPr>
          <w:rFonts w:ascii="仿宋" w:eastAsia="仿宋" w:hAnsi="仿宋" w:hint="eastAsia"/>
          <w:color w:val="000000"/>
          <w:sz w:val="24"/>
        </w:rPr>
        <w:t>》要求。</w:t>
      </w:r>
    </w:p>
    <w:p w:rsidR="0058081D" w:rsidRPr="00072F88" w:rsidRDefault="0058081D" w:rsidP="0058081D">
      <w:pPr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2.</w:t>
      </w:r>
      <w:r w:rsidRPr="00072F88">
        <w:rPr>
          <w:rFonts w:ascii="仿宋" w:eastAsia="仿宋" w:hAnsi="仿宋" w:hint="eastAsia"/>
          <w:color w:val="000000"/>
          <w:sz w:val="24"/>
        </w:rPr>
        <w:t>供货</w:t>
      </w:r>
      <w:r>
        <w:rPr>
          <w:rFonts w:ascii="仿宋" w:eastAsia="仿宋" w:hAnsi="仿宋" w:hint="eastAsia"/>
          <w:color w:val="000000"/>
          <w:sz w:val="24"/>
        </w:rPr>
        <w:t>数量及时间地点：货物能严格按照招标人每批次需求的数量按时送达采购人指定地点</w:t>
      </w:r>
      <w:r w:rsidRPr="00072F88">
        <w:rPr>
          <w:rFonts w:ascii="仿宋" w:eastAsia="仿宋" w:hAnsi="仿宋" w:hint="eastAsia"/>
          <w:color w:val="000000"/>
          <w:sz w:val="24"/>
        </w:rPr>
        <w:t>，同时随车提供产品出厂</w:t>
      </w:r>
      <w:r w:rsidRPr="00072F88">
        <w:rPr>
          <w:rFonts w:ascii="仿宋" w:eastAsia="仿宋" w:hAnsi="仿宋"/>
          <w:color w:val="000000"/>
          <w:sz w:val="24"/>
        </w:rPr>
        <w:t>单、</w:t>
      </w:r>
      <w:r w:rsidRPr="00072F88">
        <w:rPr>
          <w:rFonts w:ascii="仿宋" w:eastAsia="仿宋" w:hAnsi="仿宋" w:hint="eastAsia"/>
          <w:color w:val="000000"/>
          <w:sz w:val="24"/>
        </w:rPr>
        <w:t>产品合格证、产品</w:t>
      </w:r>
      <w:r w:rsidRPr="00072F88">
        <w:rPr>
          <w:rFonts w:ascii="仿宋" w:eastAsia="仿宋" w:hAnsi="仿宋"/>
          <w:color w:val="000000"/>
          <w:sz w:val="24"/>
        </w:rPr>
        <w:t>出厂</w:t>
      </w:r>
      <w:r>
        <w:rPr>
          <w:rFonts w:ascii="仿宋" w:eastAsia="仿宋" w:hAnsi="仿宋" w:hint="eastAsia"/>
          <w:color w:val="000000"/>
          <w:sz w:val="24"/>
        </w:rPr>
        <w:t>检测报告</w:t>
      </w:r>
      <w:r w:rsidRPr="00072F88">
        <w:rPr>
          <w:rFonts w:ascii="仿宋" w:eastAsia="仿宋" w:hAnsi="仿宋" w:hint="eastAsia"/>
          <w:color w:val="000000"/>
          <w:sz w:val="24"/>
        </w:rPr>
        <w:t>。</w:t>
      </w:r>
    </w:p>
    <w:p w:rsidR="0058081D" w:rsidRDefault="0058081D" w:rsidP="0058081D">
      <w:pPr>
        <w:widowControl/>
        <w:spacing w:line="360" w:lineRule="auto"/>
        <w:ind w:right="18"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3.</w:t>
      </w:r>
      <w:r w:rsidRPr="00163719">
        <w:rPr>
          <w:rFonts w:ascii="仿宋" w:eastAsia="仿宋" w:hAnsi="仿宋" w:hint="eastAsia"/>
          <w:color w:val="000000"/>
          <w:sz w:val="24"/>
        </w:rPr>
        <w:t xml:space="preserve"> </w:t>
      </w:r>
      <w:r w:rsidRPr="0065473D">
        <w:rPr>
          <w:rFonts w:ascii="仿宋" w:eastAsia="仿宋" w:hAnsi="仿宋" w:hint="eastAsia"/>
          <w:color w:val="000000"/>
          <w:sz w:val="24"/>
        </w:rPr>
        <w:t>运输车辆须为制造商或代理商自有车辆，专车专用，只能用于运输自来水用氢氧化钙，严禁混装其他物质，以避免污染。中标人的运输车辆须具备办理衢州市区内运输通行证各项功能资料，包含车辆行驶证及保险复印件，驾驶员驾驶证复印件，GPS定位装置证明，转弯蜂鸣装置证明；车辆两侧加装安全防护设施等</w:t>
      </w:r>
    </w:p>
    <w:p w:rsidR="0058081D" w:rsidRPr="00072F88" w:rsidRDefault="0058081D" w:rsidP="0058081D">
      <w:pPr>
        <w:spacing w:line="440" w:lineRule="exact"/>
        <w:ind w:firstLineChars="200" w:firstLine="420"/>
        <w:jc w:val="left"/>
        <w:rPr>
          <w:rFonts w:ascii="仿宋" w:eastAsia="仿宋" w:hAnsi="仿宋"/>
          <w:color w:val="000000"/>
          <w:sz w:val="24"/>
        </w:rPr>
      </w:pPr>
      <w:r>
        <w:rPr>
          <w:rFonts w:hint="eastAsia"/>
        </w:rPr>
        <w:t xml:space="preserve"> </w:t>
      </w:r>
      <w:r w:rsidRPr="008D58DA">
        <w:rPr>
          <w:rFonts w:ascii="仿宋" w:eastAsia="仿宋" w:hAnsi="仿宋" w:hint="eastAsia"/>
          <w:color w:val="000000"/>
          <w:sz w:val="24"/>
          <w:szCs w:val="24"/>
        </w:rPr>
        <w:t>4.供货期内，</w:t>
      </w:r>
      <w:r>
        <w:rPr>
          <w:rFonts w:ascii="仿宋" w:eastAsia="仿宋" w:hAnsi="仿宋" w:hint="eastAsia"/>
          <w:color w:val="000000"/>
          <w:sz w:val="24"/>
          <w:szCs w:val="24"/>
        </w:rPr>
        <w:t>供应商</w:t>
      </w:r>
      <w:r w:rsidRPr="008D58DA">
        <w:rPr>
          <w:rFonts w:ascii="仿宋" w:eastAsia="仿宋" w:hAnsi="仿宋" w:hint="eastAsia"/>
          <w:color w:val="000000"/>
          <w:sz w:val="24"/>
          <w:szCs w:val="24"/>
        </w:rPr>
        <w:t>每季度向招标人提供</w:t>
      </w:r>
      <w:r>
        <w:rPr>
          <w:rFonts w:ascii="仿宋" w:eastAsia="仿宋" w:hAnsi="仿宋" w:hint="eastAsia"/>
          <w:color w:val="000000"/>
          <w:sz w:val="24"/>
          <w:szCs w:val="24"/>
        </w:rPr>
        <w:t>产品</w:t>
      </w:r>
      <w:r w:rsidRPr="008D58DA">
        <w:rPr>
          <w:rFonts w:ascii="仿宋" w:eastAsia="仿宋" w:hAnsi="仿宋" w:hint="eastAsia"/>
          <w:color w:val="000000"/>
          <w:sz w:val="24"/>
          <w:szCs w:val="24"/>
        </w:rPr>
        <w:t>省级及</w:t>
      </w:r>
      <w:proofErr w:type="gramStart"/>
      <w:r w:rsidRPr="008D58DA">
        <w:rPr>
          <w:rFonts w:ascii="仿宋" w:eastAsia="仿宋" w:hAnsi="仿宋" w:hint="eastAsia"/>
          <w:color w:val="000000"/>
          <w:sz w:val="24"/>
          <w:szCs w:val="24"/>
        </w:rPr>
        <w:t>以</w:t>
      </w:r>
      <w:r>
        <w:rPr>
          <w:rFonts w:ascii="仿宋" w:eastAsia="仿宋" w:hAnsi="仿宋" w:hint="eastAsia"/>
          <w:color w:val="000000"/>
          <w:sz w:val="24"/>
          <w:szCs w:val="24"/>
        </w:rPr>
        <w:t>疾控中心</w:t>
      </w:r>
      <w:proofErr w:type="gramEnd"/>
      <w:r>
        <w:rPr>
          <w:rFonts w:ascii="仿宋" w:eastAsia="仿宋" w:hAnsi="仿宋" w:hint="eastAsia"/>
          <w:color w:val="000000"/>
          <w:sz w:val="24"/>
          <w:szCs w:val="24"/>
        </w:rPr>
        <w:t>关于</w:t>
      </w:r>
      <w:r w:rsidRPr="008D58DA">
        <w:rPr>
          <w:rFonts w:ascii="仿宋" w:eastAsia="仿宋" w:hAnsi="仿宋" w:hint="eastAsia"/>
          <w:color w:val="000000"/>
          <w:sz w:val="24"/>
          <w:szCs w:val="24"/>
        </w:rPr>
        <w:t>七项重金属检测</w:t>
      </w:r>
      <w:r>
        <w:rPr>
          <w:rFonts w:ascii="仿宋" w:eastAsia="仿宋" w:hAnsi="仿宋" w:hint="eastAsia"/>
          <w:color w:val="000000"/>
          <w:sz w:val="24"/>
          <w:szCs w:val="24"/>
        </w:rPr>
        <w:t>合格</w:t>
      </w:r>
      <w:r w:rsidRPr="008D58DA">
        <w:rPr>
          <w:rFonts w:ascii="仿宋" w:eastAsia="仿宋" w:hAnsi="仿宋" w:hint="eastAsia"/>
          <w:color w:val="000000"/>
          <w:sz w:val="24"/>
          <w:szCs w:val="24"/>
        </w:rPr>
        <w:t>报告。</w:t>
      </w:r>
    </w:p>
    <w:p w:rsidR="0058081D" w:rsidRPr="00072F88" w:rsidRDefault="0058081D" w:rsidP="0058081D">
      <w:pPr>
        <w:spacing w:line="440" w:lineRule="exact"/>
        <w:ind w:firstLineChars="200" w:firstLine="482"/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5</w:t>
      </w:r>
      <w:r w:rsidRPr="00072F88">
        <w:rPr>
          <w:rFonts w:ascii="仿宋" w:eastAsia="仿宋" w:hAnsi="仿宋" w:hint="eastAsia"/>
          <w:b/>
          <w:color w:val="000000"/>
          <w:sz w:val="24"/>
        </w:rPr>
        <w:t xml:space="preserve">. </w:t>
      </w:r>
      <w:r w:rsidRPr="00072F88">
        <w:rPr>
          <w:rFonts w:ascii="仿宋" w:eastAsia="仿宋" w:hAnsi="仿宋"/>
          <w:b/>
          <w:color w:val="000000"/>
          <w:sz w:val="24"/>
        </w:rPr>
        <w:t>供货期限</w:t>
      </w:r>
      <w:r w:rsidRPr="00072F88">
        <w:rPr>
          <w:rFonts w:ascii="仿宋" w:eastAsia="仿宋" w:hAnsi="仿宋" w:hint="eastAsia"/>
          <w:b/>
          <w:color w:val="000000"/>
          <w:sz w:val="24"/>
        </w:rPr>
        <w:t>：</w:t>
      </w:r>
      <w:r w:rsidRPr="00072F88">
        <w:rPr>
          <w:rFonts w:ascii="仿宋" w:eastAsia="仿宋" w:hAnsi="仿宋" w:hint="eastAsia"/>
          <w:color w:val="000000"/>
          <w:sz w:val="24"/>
        </w:rPr>
        <w:t>自合同签订之日起一</w:t>
      </w:r>
      <w:r w:rsidRPr="00072F88">
        <w:rPr>
          <w:rFonts w:ascii="仿宋" w:eastAsia="仿宋" w:hAnsi="仿宋"/>
          <w:color w:val="000000"/>
          <w:sz w:val="24"/>
        </w:rPr>
        <w:t>年</w:t>
      </w:r>
    </w:p>
    <w:p w:rsidR="0058081D" w:rsidRPr="00072F88" w:rsidRDefault="0058081D" w:rsidP="0058081D">
      <w:pPr>
        <w:spacing w:line="440" w:lineRule="exact"/>
        <w:ind w:firstLineChars="200" w:firstLine="482"/>
        <w:jc w:val="left"/>
        <w:rPr>
          <w:rFonts w:ascii="仿宋" w:eastAsia="仿宋" w:hAnsi="仿宋" w:cs="宋体"/>
          <w:color w:val="000000"/>
          <w:sz w:val="24"/>
        </w:rPr>
      </w:pPr>
      <w:r>
        <w:rPr>
          <w:rFonts w:ascii="仿宋" w:eastAsia="仿宋" w:hAnsi="仿宋" w:cs="宋体"/>
          <w:b/>
          <w:color w:val="000000"/>
          <w:sz w:val="24"/>
        </w:rPr>
        <w:t>6</w:t>
      </w:r>
      <w:r w:rsidRPr="00072F88">
        <w:rPr>
          <w:rFonts w:ascii="仿宋" w:eastAsia="仿宋" w:hAnsi="仿宋" w:cs="宋体" w:hint="eastAsia"/>
          <w:b/>
          <w:color w:val="000000"/>
          <w:sz w:val="24"/>
        </w:rPr>
        <w:t>.供货特别条款：</w:t>
      </w:r>
      <w:r>
        <w:rPr>
          <w:rFonts w:ascii="仿宋" w:eastAsia="仿宋" w:hAnsi="仿宋" w:cs="宋体" w:hint="eastAsia"/>
          <w:color w:val="000000"/>
          <w:sz w:val="24"/>
        </w:rPr>
        <w:t>供货期内供应商</w:t>
      </w:r>
      <w:r w:rsidRPr="00072F88">
        <w:rPr>
          <w:rFonts w:ascii="仿宋" w:eastAsia="仿宋" w:hAnsi="仿宋" w:cs="宋体" w:hint="eastAsia"/>
          <w:color w:val="000000"/>
          <w:sz w:val="24"/>
        </w:rPr>
        <w:t>的供货实际数量按</w:t>
      </w:r>
      <w:r>
        <w:rPr>
          <w:rFonts w:ascii="仿宋" w:eastAsia="仿宋" w:hAnsi="仿宋" w:cs="宋体" w:hint="eastAsia"/>
          <w:color w:val="000000"/>
          <w:sz w:val="24"/>
        </w:rPr>
        <w:t>采购人生产需要的批次、数量按实结算，采购人不保证总需求量与采购暂定量一致</w:t>
      </w:r>
      <w:r w:rsidRPr="002627FA">
        <w:rPr>
          <w:rFonts w:ascii="仿宋" w:eastAsia="仿宋" w:hAnsi="仿宋" w:cs="宋体" w:hint="eastAsia"/>
          <w:color w:val="000000" w:themeColor="text1"/>
          <w:sz w:val="24"/>
        </w:rPr>
        <w:t>。</w:t>
      </w:r>
    </w:p>
    <w:p w:rsidR="0058081D" w:rsidRPr="00072F88" w:rsidRDefault="0058081D" w:rsidP="0058081D">
      <w:pPr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/>
          <w:color w:val="000000"/>
          <w:sz w:val="24"/>
        </w:rPr>
        <w:t>7</w:t>
      </w:r>
      <w:r w:rsidRPr="00072F88">
        <w:rPr>
          <w:rFonts w:ascii="仿宋" w:eastAsia="仿宋" w:hAnsi="仿宋" w:hint="eastAsia"/>
          <w:color w:val="000000"/>
          <w:sz w:val="24"/>
        </w:rPr>
        <w:t>.</w:t>
      </w:r>
      <w:r w:rsidRPr="00072F88">
        <w:rPr>
          <w:rFonts w:ascii="仿宋" w:eastAsia="仿宋" w:hAnsi="仿宋" w:hint="eastAsia"/>
          <w:b/>
          <w:color w:val="000000"/>
          <w:sz w:val="24"/>
        </w:rPr>
        <w:t>现场服务响应：</w:t>
      </w:r>
      <w:r>
        <w:rPr>
          <w:rFonts w:ascii="仿宋" w:eastAsia="仿宋" w:hAnsi="仿宋" w:cs="宋体" w:hint="eastAsia"/>
          <w:color w:val="000000"/>
          <w:sz w:val="24"/>
        </w:rPr>
        <w:t>采购</w:t>
      </w:r>
      <w:r w:rsidRPr="00072F88">
        <w:rPr>
          <w:rFonts w:ascii="仿宋" w:eastAsia="仿宋" w:hAnsi="仿宋" w:cs="宋体"/>
          <w:color w:val="000000"/>
          <w:sz w:val="24"/>
        </w:rPr>
        <w:t>人有与货物相关的</w:t>
      </w:r>
      <w:r w:rsidRPr="00072F88">
        <w:rPr>
          <w:rFonts w:ascii="仿宋" w:eastAsia="仿宋" w:hAnsi="仿宋" w:cs="宋体" w:hint="eastAsia"/>
          <w:color w:val="000000"/>
          <w:sz w:val="24"/>
        </w:rPr>
        <w:t>服务</w:t>
      </w:r>
      <w:r w:rsidRPr="00072F88">
        <w:rPr>
          <w:rFonts w:ascii="仿宋" w:eastAsia="仿宋" w:hAnsi="仿宋" w:cs="宋体"/>
          <w:color w:val="000000"/>
          <w:sz w:val="24"/>
        </w:rPr>
        <w:t>需求，</w:t>
      </w:r>
      <w:r>
        <w:rPr>
          <w:rFonts w:ascii="仿宋" w:eastAsia="仿宋" w:hAnsi="仿宋" w:cs="宋体" w:hint="eastAsia"/>
          <w:color w:val="000000"/>
          <w:sz w:val="24"/>
        </w:rPr>
        <w:t>需要供应商到现场处理和解决的，供应商</w:t>
      </w:r>
      <w:r w:rsidRPr="00072F88">
        <w:rPr>
          <w:rFonts w:ascii="仿宋" w:eastAsia="仿宋" w:hAnsi="仿宋" w:cs="宋体" w:hint="eastAsia"/>
          <w:color w:val="000000"/>
          <w:sz w:val="24"/>
        </w:rPr>
        <w:t>应</w:t>
      </w:r>
      <w:r w:rsidRPr="00072F88">
        <w:rPr>
          <w:rFonts w:ascii="仿宋" w:eastAsia="仿宋" w:hAnsi="仿宋" w:cs="宋体"/>
          <w:color w:val="000000"/>
          <w:sz w:val="24"/>
        </w:rPr>
        <w:t>在</w:t>
      </w:r>
      <w:r w:rsidRPr="00072F88">
        <w:rPr>
          <w:rFonts w:ascii="仿宋" w:eastAsia="仿宋" w:hAnsi="仿宋" w:cs="宋体" w:hint="eastAsia"/>
          <w:color w:val="000000"/>
          <w:sz w:val="24"/>
        </w:rPr>
        <w:t>最短时间内</w:t>
      </w:r>
      <w:r w:rsidRPr="00072F88">
        <w:rPr>
          <w:rFonts w:ascii="仿宋" w:eastAsia="仿宋" w:hAnsi="仿宋" w:cs="宋体"/>
          <w:color w:val="000000"/>
          <w:sz w:val="24"/>
        </w:rPr>
        <w:t>赴现场</w:t>
      </w:r>
      <w:r w:rsidRPr="00072F88">
        <w:rPr>
          <w:rFonts w:ascii="仿宋" w:eastAsia="仿宋" w:hAnsi="仿宋" w:cs="宋体" w:hint="eastAsia"/>
          <w:color w:val="000000"/>
          <w:sz w:val="24"/>
        </w:rPr>
        <w:t>响应。</w:t>
      </w:r>
    </w:p>
    <w:p w:rsidR="0058081D" w:rsidRPr="00072F88" w:rsidRDefault="0058081D" w:rsidP="0058081D">
      <w:pPr>
        <w:spacing w:line="560" w:lineRule="exact"/>
        <w:jc w:val="left"/>
        <w:rPr>
          <w:rFonts w:ascii="仿宋" w:eastAsia="仿宋" w:hAnsi="仿宋" w:cs="仿宋_GB2312"/>
          <w:b/>
          <w:sz w:val="24"/>
        </w:rPr>
        <w:sectPr w:rsidR="0058081D" w:rsidRPr="00072F88">
          <w:headerReference w:type="default" r:id="rId7"/>
          <w:footerReference w:type="default" r:id="rId8"/>
          <w:footerReference w:type="first" r:id="rId9"/>
          <w:pgSz w:w="11907" w:h="16840"/>
          <w:pgMar w:top="1400" w:right="1797" w:bottom="1400" w:left="1797" w:header="851" w:footer="992" w:gutter="0"/>
          <w:cols w:space="720"/>
          <w:titlePg/>
          <w:docGrid w:linePitch="312"/>
        </w:sectPr>
      </w:pPr>
    </w:p>
    <w:p w:rsidR="00ED26BA" w:rsidRPr="006100B3" w:rsidRDefault="00E44391" w:rsidP="006100B3">
      <w:bookmarkStart w:id="0" w:name="_GoBack"/>
      <w:bookmarkEnd w:id="0"/>
    </w:p>
    <w:sectPr w:rsidR="00ED26BA" w:rsidRPr="00610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391" w:rsidRDefault="00E44391">
      <w:r>
        <w:separator/>
      </w:r>
    </w:p>
  </w:endnote>
  <w:endnote w:type="continuationSeparator" w:id="0">
    <w:p w:rsidR="00E44391" w:rsidRDefault="00E4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E1" w:rsidRDefault="00E4439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2in;height:2in;z-index:251659264;mso-wrap-style:none;mso-position-horizontal:center;mso-position-horizontal-relative:margin" filled="f" stroked="f" strokeweight="1.25pt">
          <v:fill o:detectmouseclick="t"/>
          <v:textbox style="mso-next-textbox:#文本框 3;mso-fit-shape-to-text:t" inset="0,0,0,0">
            <w:txbxContent>
              <w:p w:rsidR="002C16E1" w:rsidRDefault="0058081D">
                <w:pPr>
                  <w:pStyle w:val="a5"/>
                  <w:rPr>
                    <w:rStyle w:val="a4"/>
                  </w:rPr>
                </w:pPr>
                <w:r>
                  <w:fldChar w:fldCharType="begin"/>
                </w:r>
                <w:r>
                  <w:rPr>
                    <w:rStyle w:val="a4"/>
                  </w:rPr>
                  <w:instrText xml:space="preserve">PAGE  </w:instrText>
                </w:r>
                <w:r>
                  <w:fldChar w:fldCharType="separate"/>
                </w:r>
                <w:r w:rsidR="00F74C6C">
                  <w:rPr>
                    <w:rStyle w:val="a4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E1" w:rsidRDefault="00E44391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0" type="#_x0000_t202" style="position:absolute;left:0;text-align:left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next-textbox:#文本框 4;mso-fit-shape-to-text:t" inset="0,0,0,0">
            <w:txbxContent>
              <w:p w:rsidR="002C16E1" w:rsidRDefault="0058081D">
                <w:pPr>
                  <w:pStyle w:val="a5"/>
                  <w:rPr>
                    <w:rStyle w:val="a4"/>
                  </w:rPr>
                </w:pPr>
                <w:r>
                  <w:fldChar w:fldCharType="begin"/>
                </w:r>
                <w:r>
                  <w:rPr>
                    <w:rStyle w:val="a4"/>
                  </w:rPr>
                  <w:instrText xml:space="preserve">PAGE  </w:instrText>
                </w:r>
                <w:r>
                  <w:fldChar w:fldCharType="separate"/>
                </w:r>
                <w:r w:rsidR="00F74C6C">
                  <w:rPr>
                    <w:rStyle w:val="a4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391" w:rsidRDefault="00E44391">
      <w:r>
        <w:separator/>
      </w:r>
    </w:p>
  </w:footnote>
  <w:footnote w:type="continuationSeparator" w:id="0">
    <w:p w:rsidR="00E44391" w:rsidRDefault="00E44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E1" w:rsidRDefault="00E4439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1D"/>
    <w:rsid w:val="00233491"/>
    <w:rsid w:val="0058081D"/>
    <w:rsid w:val="006100B3"/>
    <w:rsid w:val="00E44391"/>
    <w:rsid w:val="00ED035B"/>
    <w:rsid w:val="00F7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08B0E4D5-C831-4AB3-A644-74C2A42C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081D"/>
    <w:pPr>
      <w:widowControl/>
      <w:spacing w:before="100" w:beforeAutospacing="1" w:after="100" w:afterAutospacing="1"/>
      <w:jc w:val="left"/>
    </w:pPr>
    <w:rPr>
      <w:rFonts w:ascii="宋体" w:eastAsia="宋体" w:hAnsi="Times New Roman" w:cs="Times New Roman" w:hint="eastAsia"/>
      <w:kern w:val="0"/>
      <w:sz w:val="24"/>
      <w:szCs w:val="20"/>
    </w:rPr>
  </w:style>
  <w:style w:type="character" w:styleId="a4">
    <w:name w:val="page number"/>
    <w:basedOn w:val="a0"/>
    <w:rsid w:val="0058081D"/>
  </w:style>
  <w:style w:type="paragraph" w:styleId="a5">
    <w:name w:val="footer"/>
    <w:basedOn w:val="a"/>
    <w:link w:val="Char"/>
    <w:rsid w:val="0058081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5"/>
    <w:rsid w:val="0058081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rsid w:val="00580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rsid w:val="0058081D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正"/>
    <w:basedOn w:val="a"/>
    <w:rsid w:val="0058081D"/>
    <w:pPr>
      <w:ind w:firstLine="525"/>
    </w:pPr>
    <w:rPr>
      <w:rFonts w:ascii="Times New Roman" w:eastAsia="宋体" w:hAnsi="Times New Roman" w:cs="Times New Roman"/>
      <w:spacing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5808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808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7%94%9F%E6%B4%BB%E9%A5%AE%E7%94%A8%E6%B0%B4%E5%8D%AB%E7%94%9F%E6%A0%87%E5%87%86/986725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2019-08-14T04:43:00Z</cp:lastPrinted>
  <dcterms:created xsi:type="dcterms:W3CDTF">2019-08-14T04:31:00Z</dcterms:created>
  <dcterms:modified xsi:type="dcterms:W3CDTF">2019-08-14T04:52:00Z</dcterms:modified>
</cp:coreProperties>
</file>