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exact"/>
        <w:ind w:left="76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leftChars="0" w:right="0" w:rightChars="0" w:firstLine="0" w:firstLineChars="0"/>
        <w:jc w:val="center"/>
        <w:textAlignment w:val="auto"/>
        <w:outlineLvl w:val="9"/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报价表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left="74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项目名称：国有股权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 w:bidi="ar"/>
        </w:rPr>
        <w:t>股东全部权益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价值</w:t>
      </w:r>
      <w:r>
        <w:rPr>
          <w:rFonts w:hint="eastAsia" w:ascii="仿宋_GB2312" w:hAnsi="仿宋_GB2312" w:eastAsia="仿宋_GB2312" w:cs="仿宋_GB2312"/>
          <w:sz w:val="28"/>
          <w:szCs w:val="28"/>
        </w:rPr>
        <w:t>评估服务中介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机构</w:t>
      </w:r>
      <w:r>
        <w:rPr>
          <w:rFonts w:hint="eastAsia" w:ascii="仿宋_GB2312" w:hAnsi="仿宋_GB2312" w:eastAsia="仿宋_GB2312" w:cs="仿宋_GB2312"/>
          <w:sz w:val="28"/>
          <w:szCs w:val="28"/>
        </w:rPr>
        <w:t>项目</w:t>
      </w:r>
    </w:p>
    <w:tbl>
      <w:tblPr>
        <w:tblStyle w:val="3"/>
        <w:tblW w:w="7831" w:type="dxa"/>
        <w:jc w:val="center"/>
        <w:tblInd w:w="-5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980"/>
        <w:gridCol w:w="746"/>
        <w:gridCol w:w="2262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7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7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采购内容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7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数量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7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简要技术要求、用途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76" w:firstLine="420" w:firstLineChars="2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投标人报价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7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76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国有股权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股东全部权益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价值评估服务中介机构项目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7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1家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7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具体要求见附件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《询价采购项目要求》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浙价服[20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]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号收费标准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%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76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 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说明：当有效供应商为三家时，取报价最低者为中标人；当有效供应商的数量少于三家时，本次询价作废标处理。</w:t>
      </w:r>
    </w:p>
    <w:p>
      <w:pPr>
        <w:pStyle w:val="2"/>
        <w:keepNext w:val="0"/>
        <w:keepLines w:val="0"/>
        <w:widowControl/>
        <w:suppressLineNumbers w:val="0"/>
        <w:ind w:left="76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   全权代表签字：        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投标人名称（盖章）：</w:t>
      </w:r>
    </w:p>
    <w:p>
      <w:pPr>
        <w:pStyle w:val="2"/>
        <w:keepNext w:val="0"/>
        <w:keepLines w:val="0"/>
        <w:widowControl/>
        <w:suppressLineNumbers w:val="0"/>
        <w:ind w:firstLine="5880" w:firstLineChars="2100"/>
        <w:jc w:val="both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日期：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评估基准收费标准</w:t>
      </w:r>
    </w:p>
    <w:tbl>
      <w:tblPr>
        <w:tblStyle w:val="3"/>
        <w:tblpPr w:leftFromText="180" w:rightFromText="180" w:vertAnchor="text" w:horzAnchor="page" w:tblpX="2039" w:tblpY="249"/>
        <w:tblOverlap w:val="never"/>
        <w:tblW w:w="7443" w:type="dxa"/>
        <w:tblCellSpacing w:w="15" w:type="dxa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2"/>
        <w:gridCol w:w="3978"/>
        <w:gridCol w:w="1643"/>
        <w:gridCol w:w="1134"/>
        <w:gridCol w:w="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7" w:type="dxa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7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7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计费档次(万元)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7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差额计费率(‰)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7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收费依据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7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7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100以下（含100）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7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7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浙价服（20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7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7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100以上-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00（含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0）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7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10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7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7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7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00以上-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000（含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000）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7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10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7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7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7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000以上-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000（含10000）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7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0.75</w:t>
            </w:r>
          </w:p>
        </w:tc>
        <w:tc>
          <w:tcPr>
            <w:tcW w:w="10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7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7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7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000以上-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000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（含10000）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7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0.15</w:t>
            </w:r>
          </w:p>
        </w:tc>
        <w:tc>
          <w:tcPr>
            <w:tcW w:w="10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7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7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7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000以上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7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0.1</w:t>
            </w:r>
          </w:p>
        </w:tc>
        <w:tc>
          <w:tcPr>
            <w:tcW w:w="10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7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1278" w:hRule="atLeast"/>
          <w:tblCellSpacing w:w="15" w:type="dxa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7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附注</w:t>
            </w:r>
          </w:p>
        </w:tc>
        <w:tc>
          <w:tcPr>
            <w:tcW w:w="6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7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实行差额定率累进计费，计费基数为账面价值。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7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让利后结算收费额不足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1500元的按1500元计算。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FCF82F"/>
    <w:multiLevelType w:val="singleLevel"/>
    <w:tmpl w:val="A8FCF82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7416A"/>
    <w:rsid w:val="73D7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2019-05-29T09:17:00Z</dcterms:created>
  <dc:creator>余剑锋</dc:creator>
  <cp:lastModifiedBy>余剑锋</cp:lastModifiedBy>
  <dcterms:modified xsi:type="dcterms:W3CDTF">2019-05-29T09:18:34Z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