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微软雅黑" w:hAnsi="微软雅黑" w:eastAsia="微软雅黑"/>
          <w:b/>
          <w:sz w:val="28"/>
          <w:szCs w:val="28"/>
        </w:rPr>
      </w:pPr>
      <w:r>
        <w:rPr>
          <w:rFonts w:hint="eastAsia" w:ascii="微软雅黑" w:hAnsi="微软雅黑" w:eastAsia="微软雅黑"/>
          <w:b/>
          <w:sz w:val="28"/>
          <w:szCs w:val="28"/>
        </w:rPr>
        <w:t xml:space="preserve"> </w:t>
      </w:r>
      <w:bookmarkStart w:id="0" w:name="_Toc72069792"/>
      <w:bookmarkStart w:id="1" w:name="_Toc71033410"/>
      <w:bookmarkStart w:id="2" w:name="_Toc119481961"/>
      <w:bookmarkStart w:id="3" w:name="_Toc170792778"/>
      <w:r>
        <w:rPr>
          <w:rFonts w:hint="eastAsia" w:ascii="微软雅黑" w:hAnsi="微软雅黑" w:eastAsia="微软雅黑"/>
          <w:b/>
          <w:sz w:val="28"/>
          <w:szCs w:val="28"/>
        </w:rPr>
        <w:t>采购需求</w:t>
      </w:r>
    </w:p>
    <w:bookmarkEnd w:id="0"/>
    <w:bookmarkEnd w:id="1"/>
    <w:bookmarkEnd w:id="2"/>
    <w:bookmarkEnd w:id="3"/>
    <w:p>
      <w:pPr>
        <w:snapToGrid w:val="0"/>
        <w:spacing w:beforeLines="50" w:afterLines="50" w:line="420" w:lineRule="exact"/>
        <w:ind w:firstLine="420" w:firstLineChars="200"/>
        <w:jc w:val="left"/>
        <w:rPr>
          <w:rFonts w:ascii="微软雅黑" w:hAnsi="微软雅黑" w:eastAsia="微软雅黑" w:cs="Arial"/>
          <w:b/>
          <w:szCs w:val="21"/>
        </w:rPr>
      </w:pPr>
      <w:r>
        <w:rPr>
          <w:rFonts w:hint="eastAsia" w:ascii="微软雅黑" w:hAnsi="微软雅黑" w:eastAsia="微软雅黑" w:cs="Arial"/>
          <w:b/>
          <w:szCs w:val="21"/>
        </w:rPr>
        <w:t>一、项目概述</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衢州市综合客运枢纽位于站前路以南、荷花中路西侧，与铁路衢州站接壤，是集公路长途客运、城市公交、农村公交、出租车和社会车辆等多种运输方式于一体的综合换乘系统，为铁路衢州站旅客提供集疏运服务，方便广大旅客实现零换乘。</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本项目按一级公路客运汽车站、一级城市公共汽车枢纽站标准设计。该项目总用地面积47639㎡（71.458亩）。总建筑面积71050㎡，其中地上二层（局部六层），建筑面积33250㎡；地下一层，面积37800㎡；东边连廊1445㎡，架空发车平台7872㎡。设长途发车位12个、旅游大巴发车位4个、城市公交发车位8个、农村公交发车位12个、长途车停车位71个、农村公交停车位22个、地下小型车辆停车位737个。上述数据为设计数据，具体以实际为准。该项目概算总投资6.83亿元，其中建安费4.77亿元。于2016年底开工建设，预计2019年年中建成并投入使用。</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内部功能有：换乘通道、换乘大厅、公交车出租车换乘区域；长途客运场站、农村客运场站候车大厅及发车平台；客运车辆停车场、修理房；地下小型车辆停车场；配套商业、配套设施设备等。私家车、出租车在地下层实现换乘，城市公交车在地上一层（地面）实现换乘，农村公交车和长途车在地上二层发车。</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客运枢纽项目不同于一般的综合体运营管理，不仅要服务好业主单位、经营单位，提供优质的运营管理、工程维修、设备运维、秩序管理、车辆管理、安全、消防、清洁、绿化管理等基础服务，做好商业运营，确保资产安全增效。更要服务好旅客，抓好服务窗口文明创建工作，做好反恐防恐、维稳安保、稳妥处置群体事件等，为旅客营造安全、整洁、温馨、舒适的出行环境。</w:t>
      </w:r>
    </w:p>
    <w:p>
      <w:pPr>
        <w:snapToGrid w:val="0"/>
        <w:spacing w:beforeLines="50" w:afterLines="50" w:line="420" w:lineRule="exact"/>
        <w:ind w:firstLine="420" w:firstLineChars="200"/>
        <w:jc w:val="left"/>
        <w:rPr>
          <w:rFonts w:ascii="微软雅黑" w:hAnsi="微软雅黑" w:eastAsia="微软雅黑" w:cs="宋体"/>
          <w:b/>
          <w:szCs w:val="21"/>
        </w:rPr>
      </w:pPr>
      <w:r>
        <w:rPr>
          <w:rFonts w:hint="eastAsia" w:ascii="微软雅黑" w:hAnsi="微软雅黑" w:eastAsia="微软雅黑" w:cs="宋体"/>
          <w:b/>
          <w:szCs w:val="21"/>
        </w:rPr>
        <w:t>二、服务区域</w:t>
      </w:r>
    </w:p>
    <w:p>
      <w:pPr>
        <w:snapToGrid w:val="0"/>
        <w:spacing w:line="420" w:lineRule="exact"/>
        <w:ind w:firstLine="420" w:firstLineChars="200"/>
        <w:jc w:val="left"/>
        <w:rPr>
          <w:rFonts w:ascii="微软雅黑" w:hAnsi="微软雅黑" w:eastAsia="微软雅黑" w:cs="宋体"/>
          <w:color w:val="FF0000"/>
          <w:szCs w:val="21"/>
        </w:rPr>
      </w:pPr>
      <w:r>
        <w:rPr>
          <w:rFonts w:hint="eastAsia" w:ascii="微软雅黑" w:hAnsi="微软雅黑" w:eastAsia="微软雅黑" w:cs="宋体"/>
          <w:szCs w:val="21"/>
        </w:rPr>
        <w:t>衢州市综合客运枢纽项目红线范围内的所有区域（含主站房地上一层二层、地下一层；架空连廊；六层商业综合楼；室外配套等）、以及红线外明确属于客运枢纽管理区域的出站大厅、架空连廊、场站广场、绿化及四周空间等，含长途客运场站，农村客运场站、公交车、出租车管理区域、候车区域、发车平台、停车场等区域，（上述车辆运营业务由车辆经营单位自行负责）。具体事项区域范围详见图纸（图纸另册）。</w:t>
      </w:r>
    </w:p>
    <w:p>
      <w:pPr>
        <w:snapToGrid w:val="0"/>
        <w:spacing w:beforeLines="50" w:afterLines="50" w:line="420" w:lineRule="exact"/>
        <w:ind w:firstLine="420" w:firstLineChars="200"/>
        <w:jc w:val="left"/>
        <w:rPr>
          <w:rFonts w:ascii="微软雅黑" w:hAnsi="微软雅黑" w:eastAsia="微软雅黑" w:cs="宋体"/>
          <w:b/>
          <w:szCs w:val="21"/>
        </w:rPr>
      </w:pPr>
      <w:bookmarkStart w:id="4" w:name="_Toc521501355"/>
      <w:r>
        <w:rPr>
          <w:rFonts w:hint="eastAsia" w:ascii="微软雅黑" w:hAnsi="微软雅黑" w:eastAsia="微软雅黑" w:cs="宋体"/>
          <w:b/>
          <w:szCs w:val="21"/>
        </w:rPr>
        <w:t>三、</w:t>
      </w:r>
      <w:bookmarkEnd w:id="4"/>
      <w:r>
        <w:rPr>
          <w:rFonts w:hint="eastAsia" w:ascii="微软雅黑" w:hAnsi="微软雅黑" w:eastAsia="微软雅黑" w:cs="宋体"/>
          <w:b/>
          <w:szCs w:val="21"/>
        </w:rPr>
        <w:t>服务内容和职责</w:t>
      </w:r>
    </w:p>
    <w:p>
      <w:pPr>
        <w:spacing w:line="42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（一）服务内容</w:t>
      </w:r>
    </w:p>
    <w:p>
      <w:pPr>
        <w:snapToGrid w:val="0"/>
        <w:spacing w:line="420" w:lineRule="exact"/>
        <w:ind w:firstLine="420" w:firstLineChars="200"/>
        <w:jc w:val="left"/>
        <w:rPr>
          <w:rFonts w:ascii="微软雅黑" w:hAnsi="微软雅黑" w:eastAsia="微软雅黑"/>
          <w:szCs w:val="21"/>
        </w:rPr>
      </w:pPr>
      <w:r>
        <w:rPr>
          <w:rFonts w:hint="eastAsia" w:ascii="微软雅黑" w:hAnsi="微软雅黑" w:eastAsia="微软雅黑" w:cs="宋体"/>
          <w:szCs w:val="21"/>
        </w:rPr>
        <w:t>本次采购的运营管理服务项目主要服务包含以下内容：运营管理：</w:t>
      </w:r>
      <w:r>
        <w:rPr>
          <w:rFonts w:hint="eastAsia" w:ascii="微软雅黑" w:hAnsi="微软雅黑" w:eastAsia="微软雅黑"/>
          <w:szCs w:val="21"/>
        </w:rPr>
        <w:t>运行秩序管理、智能化及信息平台管理；</w:t>
      </w:r>
      <w:r>
        <w:rPr>
          <w:rFonts w:hint="eastAsia" w:ascii="微软雅黑" w:hAnsi="微软雅黑" w:eastAsia="微软雅黑" w:cs="宋体"/>
          <w:szCs w:val="21"/>
        </w:rPr>
        <w:t>秩序管理：安全秩序管理、消防管理；卫生管理：清洁、保洁、绿化管理；设施设备管理：资产管理、工程维护、设施设备维修；旅客服务：咨询接待、服务投诉处理；商业运营：商业</w:t>
      </w:r>
      <w:r>
        <w:rPr>
          <w:rFonts w:hint="eastAsia" w:ascii="微软雅黑" w:hAnsi="微软雅黑" w:eastAsia="微软雅黑"/>
          <w:szCs w:val="21"/>
        </w:rPr>
        <w:t>招租、经营管理；行政后勤：行政后勤管理、文明创建、窗口文化建设等所涉及到客运枢纽运营管理的所有内容。</w:t>
      </w:r>
    </w:p>
    <w:p>
      <w:pPr>
        <w:snapToGrid w:val="0"/>
        <w:spacing w:line="42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（二）主要工作职责</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1、运营管理：</w:t>
      </w:r>
      <w:r>
        <w:rPr>
          <w:rFonts w:hint="eastAsia" w:ascii="微软雅黑" w:hAnsi="微软雅黑" w:eastAsia="微软雅黑"/>
          <w:szCs w:val="21"/>
        </w:rPr>
        <w:t>负责</w:t>
      </w:r>
      <w:r>
        <w:rPr>
          <w:rFonts w:hint="eastAsia" w:ascii="微软雅黑" w:hAnsi="微软雅黑" w:eastAsia="微软雅黑" w:cs="宋体"/>
          <w:szCs w:val="21"/>
        </w:rPr>
        <w:t>枢纽运营工作计划的实施和日常运营管理工作，与铁路、交通、交警、运管保持工作联动；负责枢纽内各类</w:t>
      </w:r>
      <w:r>
        <w:rPr>
          <w:rFonts w:hint="eastAsia" w:ascii="微软雅黑" w:hAnsi="微软雅黑" w:eastAsia="微软雅黑"/>
          <w:szCs w:val="21"/>
        </w:rPr>
        <w:t>车辆运营单位的工作协调、智能化及信息平台管理工作；负责整个枢纽场地的运行秩序管理、应急处置</w:t>
      </w:r>
      <w:r>
        <w:rPr>
          <w:rFonts w:hint="eastAsia" w:ascii="微软雅黑" w:hAnsi="微软雅黑" w:eastAsia="微软雅黑" w:cs="宋体"/>
          <w:szCs w:val="21"/>
        </w:rPr>
        <w:t>；服务、配合和协调好进驻场站的公交车、出租车、长途客运、农村客运等运行秩序管理，做好安防监控、综合信息发布；与高铁、客运、公交等各运营单位运作时间相互配合，保障枢纽正常运营；利用枢纽视频监控系统、保安队伍等资源优势，与属地派出所、交警、市政府广场管理处等社会治安管理力量建立枢纽安全联防控系统，共同维护枢纽安全。</w:t>
      </w:r>
    </w:p>
    <w:p>
      <w:pPr>
        <w:autoSpaceDE w:val="0"/>
        <w:autoSpaceDN w:val="0"/>
        <w:adjustRightIn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2、秩序管理：负责枢纽安全秩序管理，</w:t>
      </w:r>
      <w:r>
        <w:rPr>
          <w:rFonts w:hint="eastAsia" w:ascii="微软雅黑" w:hAnsi="微软雅黑" w:eastAsia="微软雅黑" w:cs="宋体"/>
          <w:color w:val="000000"/>
          <w:szCs w:val="21"/>
        </w:rPr>
        <w:t>实行全天24小时有安保人员现场值班，</w:t>
      </w:r>
      <w:r>
        <w:rPr>
          <w:rFonts w:hint="eastAsia" w:ascii="微软雅黑" w:hAnsi="微软雅黑" w:eastAsia="微软雅黑" w:cs="宋体"/>
          <w:szCs w:val="21"/>
        </w:rPr>
        <w:t>开展进出站旅客疏导服务，</w:t>
      </w:r>
      <w:r>
        <w:rPr>
          <w:rFonts w:hint="eastAsia" w:ascii="微软雅黑" w:hAnsi="微软雅黑" w:eastAsia="微软雅黑" w:cs="宋体"/>
          <w:color w:val="000000"/>
          <w:szCs w:val="21"/>
        </w:rPr>
        <w:t>维护服务场所内的安全和正常工作秩序</w:t>
      </w:r>
      <w:r>
        <w:rPr>
          <w:rFonts w:hint="eastAsia" w:ascii="微软雅黑" w:hAnsi="微软雅黑" w:eastAsia="微软雅黑" w:cs="宋体"/>
          <w:szCs w:val="21"/>
        </w:rPr>
        <w:t>；负责保安人员培训管理工作，开展区域执勤、巡逻、消防巡检、车辆停放管理、人员秩序维护、消监控室值班；负责业主方固定资产、设施设备等管理，做好消火栓维护，消防器材维护，确保设备运行安全；负责反恐防恐工作，做好</w:t>
      </w:r>
      <w:r>
        <w:rPr>
          <w:rFonts w:hint="eastAsia" w:ascii="微软雅黑" w:hAnsi="微软雅黑" w:eastAsia="微软雅黑"/>
          <w:szCs w:val="21"/>
        </w:rPr>
        <w:t>防火、防盗、防破坏、防治安灾害事故等安全防范工作，</w:t>
      </w:r>
      <w:r>
        <w:rPr>
          <w:rFonts w:hint="eastAsia" w:ascii="微软雅黑" w:hAnsi="微软雅黑" w:eastAsia="微软雅黑" w:cs="宋体"/>
          <w:szCs w:val="21"/>
        </w:rPr>
        <w:t>建立安全联防，严防重大安全责任事故的发生；</w:t>
      </w:r>
      <w:r>
        <w:rPr>
          <w:rFonts w:hint="eastAsia" w:ascii="微软雅黑" w:hAnsi="微软雅黑" w:eastAsia="微软雅黑"/>
          <w:szCs w:val="21"/>
        </w:rPr>
        <w:t>预防和纠正辖区内不文明现象以及违法违章行为违章行为，处理突发性事情，超出职权范围的及时上报有关部门处理；</w:t>
      </w:r>
      <w:r>
        <w:rPr>
          <w:rFonts w:hint="eastAsia" w:ascii="微软雅黑" w:hAnsi="微软雅黑" w:eastAsia="微软雅黑" w:cs="宋体"/>
          <w:szCs w:val="21"/>
        </w:rPr>
        <w:t>协助并接受安全职能部门的检查监督。</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3、清洁卫生管理：负责枢纽所有区域的清洁卫生管理、绿化管理；做好管理区域所有地面、墙面、门窗、楼梯、电梯、卫生间及设施的清洁卫生工作，保持公共卫生间空气清新无异味；负责垃圾清运、排污管道、集污井清理，保持整洁干净、畅通、设施完好；负责站房外观保洁，保持玻璃幕墙清洁明亮、无破损、乱悬挂等现象；做好场站外围绿化花草树木修剪，保持整齐美观，无基本病虫害，无折损现象，绿地无杂物，保持干净、卫生。</w:t>
      </w:r>
    </w:p>
    <w:p>
      <w:pPr>
        <w:spacing w:line="42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4、设施设备管理：</w:t>
      </w:r>
      <w:r>
        <w:rPr>
          <w:rFonts w:hint="eastAsia" w:ascii="微软雅黑" w:hAnsi="微软雅黑" w:eastAsia="微软雅黑"/>
          <w:szCs w:val="21"/>
        </w:rPr>
        <w:t>负责</w:t>
      </w:r>
      <w:r>
        <w:rPr>
          <w:rFonts w:hint="eastAsia" w:ascii="微软雅黑" w:hAnsi="微软雅黑" w:eastAsia="微软雅黑" w:cs="宋体"/>
          <w:szCs w:val="21"/>
        </w:rPr>
        <w:t>房屋及配套设施</w:t>
      </w:r>
      <w:r>
        <w:rPr>
          <w:rFonts w:hint="eastAsia" w:ascii="微软雅黑" w:hAnsi="微软雅黑" w:eastAsia="微软雅黑"/>
          <w:szCs w:val="21"/>
        </w:rPr>
        <w:t>、设备包括机械、通讯、电梯、变配电、暖通等设备及水电设施的管理工作；负责设备安全运行管理，</w:t>
      </w:r>
      <w:r>
        <w:rPr>
          <w:rFonts w:hint="eastAsia" w:ascii="微软雅黑" w:hAnsi="微软雅黑" w:eastAsia="微软雅黑" w:cs="宋体"/>
          <w:szCs w:val="21"/>
        </w:rPr>
        <w:t>制订岗位责任制、定期巡回检查、维护保养、运行记录管理、维修档案等管理制度；</w:t>
      </w:r>
      <w:r>
        <w:rPr>
          <w:rFonts w:hint="eastAsia" w:ascii="微软雅黑" w:hAnsi="微软雅黑" w:eastAsia="微软雅黑"/>
          <w:szCs w:val="21"/>
        </w:rPr>
        <w:t>负责制定设备管理制度和维修保养工作计划，做好</w:t>
      </w:r>
      <w:r>
        <w:rPr>
          <w:rFonts w:hint="eastAsia" w:ascii="微软雅黑" w:hAnsi="微软雅黑" w:eastAsia="微软雅黑" w:cs="宋体"/>
          <w:szCs w:val="21"/>
        </w:rPr>
        <w:t>供电系统、弱电系统、消防系统、电梯系统、给排水系统等的</w:t>
      </w:r>
      <w:r>
        <w:rPr>
          <w:rFonts w:hint="eastAsia" w:ascii="微软雅黑" w:hAnsi="微软雅黑" w:eastAsia="微软雅黑"/>
          <w:szCs w:val="21"/>
        </w:rPr>
        <w:t>日常维修保养工作；</w:t>
      </w:r>
      <w:r>
        <w:rPr>
          <w:rFonts w:hint="eastAsia" w:ascii="微软雅黑" w:hAnsi="微软雅黑" w:eastAsia="微软雅黑"/>
          <w:color w:val="000000"/>
          <w:szCs w:val="21"/>
        </w:rPr>
        <w:t>对设备设施故障及时进行分析、处理和组织应急抢修；</w:t>
      </w:r>
      <w:r>
        <w:rPr>
          <w:rFonts w:hint="eastAsia" w:ascii="微软雅黑" w:hAnsi="微软雅黑" w:eastAsia="微软雅黑"/>
          <w:szCs w:val="21"/>
        </w:rPr>
        <w:t>负责设备安全运行管理工作等。</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5、旅客服务：</w:t>
      </w:r>
      <w:r>
        <w:rPr>
          <w:rFonts w:hint="eastAsia" w:ascii="微软雅黑" w:hAnsi="微软雅黑" w:eastAsia="微软雅黑"/>
          <w:szCs w:val="21"/>
        </w:rPr>
        <w:t>负责客运枢纽日常运行过程中</w:t>
      </w:r>
      <w:r>
        <w:rPr>
          <w:rFonts w:hint="eastAsia" w:ascii="微软雅黑" w:hAnsi="微软雅黑" w:eastAsia="微软雅黑" w:cs="宋体"/>
          <w:szCs w:val="21"/>
        </w:rPr>
        <w:t>旅客咨询、投诉处理、服务及</w:t>
      </w:r>
      <w:r>
        <w:rPr>
          <w:rFonts w:hint="eastAsia" w:ascii="微软雅黑" w:hAnsi="微软雅黑" w:eastAsia="微软雅黑" w:cs="宋体"/>
          <w:kern w:val="0"/>
          <w:szCs w:val="21"/>
        </w:rPr>
        <w:t>接待工作</w:t>
      </w:r>
      <w:r>
        <w:rPr>
          <w:rFonts w:hint="eastAsia" w:ascii="微软雅黑" w:hAnsi="微软雅黑" w:eastAsia="微软雅黑" w:cs="宋体"/>
          <w:szCs w:val="21"/>
        </w:rPr>
        <w:t>；及时处理旅客投诉，在提供服务的过程中要充分考虑服务群体的多样性，针对不同的客户群体提供不同的服务；做好运营时段客服人员值班工作，设置服务电话，提供现场和远程问询服务，为旅客提供导乘服务；为旅客出行提供方便，对特殊乘客（如老人，残疾人等）要提供必要的特殊服务；做好客运枢纽文明创建和窗口文化建设工作，树立窗口良好形象。</w:t>
      </w:r>
    </w:p>
    <w:p>
      <w:pPr>
        <w:snapToGrid w:val="0"/>
        <w:spacing w:line="42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6、商业运营：负责商业招租和经营管理工作；</w:t>
      </w:r>
      <w:r>
        <w:rPr>
          <w:rFonts w:hint="eastAsia" w:ascii="微软雅黑" w:hAnsi="微软雅黑" w:eastAsia="微软雅黑"/>
          <w:szCs w:val="21"/>
        </w:rPr>
        <w:t>负责</w:t>
      </w:r>
      <w:r>
        <w:rPr>
          <w:rFonts w:hint="eastAsia" w:ascii="微软雅黑" w:hAnsi="微软雅黑" w:eastAsia="微软雅黑" w:cs="宋体"/>
          <w:szCs w:val="21"/>
        </w:rPr>
        <w:t>商业综合楼、场站商铺、广告位、修车厂等商业地块的招租及日常管理，制订商业招商计划方案，报业主方审核同意后组织实施；</w:t>
      </w:r>
      <w:r>
        <w:rPr>
          <w:rFonts w:hint="eastAsia" w:ascii="微软雅黑" w:hAnsi="微软雅黑" w:eastAsia="微软雅黑"/>
          <w:szCs w:val="21"/>
        </w:rPr>
        <w:t>做好商户日常经营监管工作，</w:t>
      </w:r>
      <w:r>
        <w:rPr>
          <w:rFonts w:hint="eastAsia" w:ascii="微软雅黑" w:hAnsi="微软雅黑" w:eastAsia="微软雅黑" w:cs="宋体"/>
          <w:szCs w:val="21"/>
        </w:rPr>
        <w:t>以及水、电等费用的收缴和分摊，为商业设施提供增值运营服务；负责停车场车位的管理和停车费收缴等。</w:t>
      </w:r>
    </w:p>
    <w:p>
      <w:pPr>
        <w:snapToGrid w:val="0"/>
        <w:spacing w:line="420" w:lineRule="exact"/>
        <w:ind w:firstLine="420" w:firstLineChars="200"/>
        <w:rPr>
          <w:rFonts w:ascii="微软雅黑" w:hAnsi="微软雅黑" w:eastAsia="微软雅黑" w:cs="宋体"/>
          <w:color w:val="FF0000"/>
          <w:szCs w:val="21"/>
        </w:rPr>
      </w:pPr>
      <w:r>
        <w:rPr>
          <w:rFonts w:hint="eastAsia" w:ascii="微软雅黑" w:hAnsi="微软雅黑" w:eastAsia="微软雅黑" w:cs="宋体"/>
          <w:szCs w:val="21"/>
        </w:rPr>
        <w:t>7、行政后勤管理：</w:t>
      </w:r>
      <w:r>
        <w:rPr>
          <w:rFonts w:hint="eastAsia" w:ascii="微软雅黑" w:hAnsi="微软雅黑" w:eastAsia="微软雅黑"/>
          <w:szCs w:val="21"/>
        </w:rPr>
        <w:t>负责运营公司日常行政、后勤、人事及员工管理工作；开展企业文化建设、宣传工作；负责人事劳动工资、职效考核、</w:t>
      </w:r>
      <w:r>
        <w:rPr>
          <w:rFonts w:hint="eastAsia" w:ascii="微软雅黑" w:hAnsi="微软雅黑" w:eastAsia="微软雅黑" w:cs="宋体"/>
          <w:szCs w:val="21"/>
        </w:rPr>
        <w:t>财务管理工作；严格执行国家有关财务管理制度，按规定上交各种规费、为员工办理相关保险，自觉接受采购人监督，及时完成采购人交办的各种任务。</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8、其他有关运营管理等所有事项。</w:t>
      </w:r>
    </w:p>
    <w:p>
      <w:pPr>
        <w:spacing w:beforeLines="50" w:afterLines="50" w:line="400" w:lineRule="exact"/>
        <w:ind w:firstLine="420" w:firstLineChars="200"/>
        <w:rPr>
          <w:rFonts w:ascii="宋体" w:hAnsi="宋体" w:cs="宋体"/>
          <w:color w:val="FF0000"/>
          <w:szCs w:val="21"/>
        </w:rPr>
      </w:pPr>
      <w:r>
        <w:rPr>
          <w:rFonts w:hint="eastAsia" w:ascii="微软雅黑" w:hAnsi="微软雅黑" w:eastAsia="微软雅黑" w:cs="宋体"/>
          <w:b/>
          <w:szCs w:val="21"/>
        </w:rPr>
        <w:t>四、人员配置要求</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1、本项目须配备管理岗位：总经理、副总经理；主管岗位：秩序主管、工程主管、保洁主管、行政主管等主管岗位。</w:t>
      </w:r>
    </w:p>
    <w:p>
      <w:pPr>
        <w:spacing w:line="420" w:lineRule="exact"/>
        <w:ind w:firstLine="420" w:firstLineChars="200"/>
        <w:rPr>
          <w:rFonts w:ascii="微软雅黑" w:hAnsi="微软雅黑" w:eastAsia="微软雅黑"/>
        </w:rPr>
      </w:pPr>
      <w:r>
        <w:rPr>
          <w:rFonts w:hint="eastAsia" w:ascii="微软雅黑" w:hAnsi="微软雅黑" w:eastAsia="微软雅黑" w:cs="宋体"/>
          <w:szCs w:val="21"/>
        </w:rPr>
        <w:t>2、其他人员：配备行政综合、客服、财务、设备维修、暖通及智能化（弱电）管理、水电工及电梯管理、高配管理等岗位工作人员若干名。建议保安(含消控及监控室值班)不少于39人、保洁不少于37人。</w:t>
      </w:r>
      <w:r>
        <w:rPr>
          <w:rFonts w:hint="eastAsia" w:ascii="微软雅黑" w:hAnsi="微软雅黑" w:eastAsia="微软雅黑"/>
        </w:rPr>
        <w:t>投标人若承诺可通过提高管理，提高工作效率，满足枢纽正常服务需求的前提下，在投标方案中可根据自行情况，适当调整岗位配置及人员数量和投标报价。在以后的运营管理服务中，若因人员配置满足不了正常需求（区域管理面积增加或上级特别要求除外），中标人应及时调整或增加相应人员，</w:t>
      </w:r>
      <w:r>
        <w:rPr>
          <w:rFonts w:hint="eastAsia" w:ascii="微软雅黑" w:hAnsi="微软雅黑" w:eastAsia="微软雅黑" w:cs="宋体"/>
          <w:szCs w:val="21"/>
        </w:rPr>
        <w:t>确保客运枢纽正常高效运行</w:t>
      </w:r>
      <w:r>
        <w:rPr>
          <w:rFonts w:hint="eastAsia" w:ascii="微软雅黑" w:hAnsi="微软雅黑" w:eastAsia="微软雅黑"/>
        </w:rPr>
        <w:t>；</w:t>
      </w:r>
      <w:r>
        <w:rPr>
          <w:rFonts w:hint="eastAsia" w:ascii="微软雅黑" w:hAnsi="微软雅黑" w:eastAsia="微软雅黑" w:cs="宋体"/>
          <w:szCs w:val="21"/>
        </w:rPr>
        <w:t>遇重大节日、市级重大活动、重要检查等，中标人也应根据实际需要临时增加相应力量，树立良好窗口形象。中标人为满足正常服务管理需要调整或增加人员，采购人不另行调整或增加相关费用。</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3、人员要求：所有配备人员必须符合国家法律法规、行业规范要求及采购人需求；同时应身体健康、体魄健全、信任本职工作，年龄符合就业要求，保安年龄要求男性 55 周岁以下（平均年龄不超出50周岁，且配备一定比例的退役军人和女保安），保洁平均年龄要求 50 周岁以下。对一些特殊岗位要持证上岗。</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备注：①工作人员上岗前应经过岗位培训，掌握基本岗位业务技能，胜任本职工作方能上岗；上岗后还需持续进行培训，不断提高技术和服务水平；</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②对一些特殊岗位工种需按照国家有关法律法规要求持证上岗，消控室从业人员必须持建构物消防员证上岗（每班定员不少于2人）、电工要有电工证，电梯管理员要取得电梯管理证书等。</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③工作人员（特别是保安、保洁）要求统一着工作装上岗，工作装由中标人自行制订并报采购人确认。</w:t>
      </w:r>
    </w:p>
    <w:p>
      <w:pPr>
        <w:spacing w:beforeLines="50" w:afterLines="50" w:line="420" w:lineRule="exact"/>
        <w:ind w:firstLine="420" w:firstLineChars="200"/>
        <w:rPr>
          <w:rFonts w:ascii="微软雅黑" w:hAnsi="微软雅黑" w:eastAsia="微软雅黑" w:cs="宋体"/>
          <w:b/>
          <w:color w:val="FF0000"/>
          <w:szCs w:val="21"/>
        </w:rPr>
      </w:pPr>
      <w:r>
        <w:rPr>
          <w:rFonts w:hint="eastAsia" w:ascii="微软雅黑" w:hAnsi="微软雅黑" w:eastAsia="微软雅黑" w:cs="宋体"/>
          <w:b/>
          <w:szCs w:val="21"/>
        </w:rPr>
        <w:t>五、</w:t>
      </w:r>
      <w:r>
        <w:rPr>
          <w:rFonts w:hint="eastAsia" w:ascii="微软雅黑" w:hAnsi="微软雅黑" w:eastAsia="微软雅黑" w:cs="宋体"/>
          <w:b/>
          <w:color w:val="FF0000"/>
          <w:szCs w:val="21"/>
        </w:rPr>
        <w:t>年运营补贴额</w:t>
      </w:r>
    </w:p>
    <w:p>
      <w:pPr>
        <w:spacing w:beforeLines="50" w:afterLines="50" w:line="420" w:lineRule="exact"/>
        <w:ind w:firstLine="420" w:firstLineChars="200"/>
        <w:rPr>
          <w:rFonts w:ascii="微软雅黑" w:hAnsi="微软雅黑" w:eastAsia="微软雅黑" w:cs="宋体"/>
          <w:szCs w:val="21"/>
        </w:rPr>
      </w:pPr>
      <w:r>
        <w:rPr>
          <w:rFonts w:hint="eastAsia" w:ascii="微软雅黑" w:hAnsi="微软雅黑" w:eastAsia="微软雅黑" w:cs="宋体"/>
          <w:b/>
          <w:color w:val="FF0000"/>
          <w:szCs w:val="21"/>
        </w:rPr>
        <w:t>年运营补贴额</w:t>
      </w:r>
      <w:r>
        <w:rPr>
          <w:rFonts w:hint="eastAsia" w:ascii="微软雅黑" w:hAnsi="微软雅黑" w:eastAsia="微软雅黑" w:cs="宋体"/>
          <w:b/>
          <w:szCs w:val="21"/>
        </w:rPr>
        <w:t>包括运营管理的一切费用，供应商在报价时应充分考虑。</w:t>
      </w:r>
      <w:r>
        <w:rPr>
          <w:rFonts w:hint="eastAsia" w:ascii="微软雅黑" w:hAnsi="微软雅黑" w:eastAsia="微软雅黑" w:cs="宋体"/>
          <w:b/>
          <w:color w:val="FF0000"/>
          <w:szCs w:val="21"/>
        </w:rPr>
        <w:t>年运营补贴额</w:t>
      </w:r>
      <w:r>
        <w:rPr>
          <w:rFonts w:hint="eastAsia" w:ascii="微软雅黑" w:hAnsi="微软雅黑" w:eastAsia="微软雅黑" w:cs="宋体"/>
          <w:szCs w:val="21"/>
        </w:rPr>
        <w:t>分为两部分:</w:t>
      </w:r>
      <w:r>
        <w:rPr>
          <w:rFonts w:hint="eastAsia" w:ascii="微软雅黑" w:hAnsi="微软雅黑" w:eastAsia="微软雅黑" w:cs="宋体"/>
          <w:color w:val="FF0000"/>
          <w:szCs w:val="21"/>
        </w:rPr>
        <w:t>一是年运营收支差额；二是一次性补贴费用10年摊销额。</w:t>
      </w:r>
      <w:r>
        <w:rPr>
          <w:rFonts w:hint="eastAsia" w:ascii="微软雅黑" w:hAnsi="微软雅黑" w:eastAsia="微软雅黑" w:cs="宋体"/>
          <w:szCs w:val="21"/>
        </w:rPr>
        <w:t>由采购人每年分四次支付给中标人。</w:t>
      </w:r>
    </w:p>
    <w:p>
      <w:pPr>
        <w:spacing w:beforeLines="50" w:afterLines="50" w:line="420" w:lineRule="exact"/>
        <w:ind w:firstLine="420" w:firstLineChars="200"/>
        <w:rPr>
          <w:rFonts w:ascii="微软雅黑" w:hAnsi="微软雅黑" w:eastAsia="微软雅黑" w:cs="宋体"/>
          <w:b/>
          <w:szCs w:val="21"/>
        </w:rPr>
      </w:pPr>
      <w:r>
        <w:rPr>
          <w:rFonts w:hint="eastAsia" w:ascii="微软雅黑" w:hAnsi="微软雅黑" w:eastAsia="微软雅黑" w:cs="宋体"/>
          <w:szCs w:val="21"/>
        </w:rPr>
        <w:t>供应商在报价时应充分考虑以下因素：</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w:t>
      </w:r>
      <w:r>
        <w:rPr>
          <w:rFonts w:hint="eastAsia" w:ascii="微软雅黑" w:hAnsi="微软雅黑" w:eastAsia="微软雅黑" w:cs="宋体"/>
          <w:color w:val="FF0000"/>
          <w:szCs w:val="21"/>
        </w:rPr>
        <w:t>一次性补贴费用10年摊销额</w:t>
      </w:r>
      <w:r>
        <w:rPr>
          <w:rFonts w:hint="eastAsia" w:ascii="微软雅黑" w:hAnsi="微软雅黑" w:eastAsia="微软雅黑" w:cs="宋体"/>
          <w:szCs w:val="21"/>
        </w:rPr>
        <w:t>为中标运营方正常运营所需支付的一次性开办费、人员前期进驻人工费、商业免租期无收入补偿费用，抵扣首年设备免保费用等组成。</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2、一次性开办费用所列设备设施、办公用品等所有财产，由中标人自行采购并负责后期保养、维修、更新，后续需要添加的设备设施由中标人自行负责并承担费用。</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3、本合同总价款含所有费用及税费(包括运营成本：人员薪资福利、培训费、服装费、水电费、材料费、设备设施维护及保养、环境维护费、秩序维护费用、专用工具、行政办公杂费、保险、税金等一切费用)以及管理费和利润。</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4、</w:t>
      </w:r>
      <w:r>
        <w:rPr>
          <w:rFonts w:hint="eastAsia" w:ascii="微软雅黑" w:hAnsi="微软雅黑" w:eastAsia="微软雅黑" w:cs="宋体"/>
          <w:color w:val="FF0000"/>
          <w:szCs w:val="21"/>
        </w:rPr>
        <w:t>年运营补贴额</w:t>
      </w:r>
      <w:r>
        <w:rPr>
          <w:rFonts w:hint="eastAsia" w:ascii="微软雅黑" w:hAnsi="微软雅黑" w:eastAsia="微软雅黑" w:cs="宋体"/>
          <w:szCs w:val="21"/>
        </w:rPr>
        <w:t>最高限价为720万元。</w:t>
      </w:r>
    </w:p>
    <w:p>
      <w:pPr>
        <w:snapToGrid w:val="0"/>
        <w:spacing w:line="420" w:lineRule="exact"/>
        <w:ind w:firstLine="420" w:firstLineChars="200"/>
        <w:jc w:val="left"/>
        <w:rPr>
          <w:rFonts w:ascii="微软雅黑" w:hAnsi="微软雅黑" w:eastAsia="微软雅黑"/>
          <w:b/>
          <w:szCs w:val="21"/>
        </w:rPr>
      </w:pPr>
      <w:r>
        <w:rPr>
          <w:rFonts w:hint="eastAsia" w:ascii="微软雅黑" w:hAnsi="微软雅黑" w:eastAsia="微软雅黑"/>
          <w:b/>
          <w:szCs w:val="21"/>
        </w:rPr>
        <w:t>六、管理目标</w:t>
      </w:r>
    </w:p>
    <w:p>
      <w:pPr>
        <w:spacing w:line="420" w:lineRule="exact"/>
        <w:ind w:firstLine="420" w:firstLineChars="200"/>
        <w:rPr>
          <w:rFonts w:ascii="微软雅黑" w:hAnsi="微软雅黑" w:eastAsia="微软雅黑"/>
          <w:b/>
          <w:szCs w:val="21"/>
        </w:rPr>
      </w:pPr>
      <w:r>
        <w:rPr>
          <w:rFonts w:hint="eastAsia" w:ascii="微软雅黑" w:hAnsi="微软雅黑" w:eastAsia="微软雅黑" w:cs="宋体"/>
          <w:szCs w:val="21"/>
        </w:rPr>
        <w:t>（一）管理目标</w:t>
      </w:r>
    </w:p>
    <w:p>
      <w:pPr>
        <w:adjustRightInd w:val="0"/>
        <w:snapToGrid w:val="0"/>
        <w:spacing w:line="420" w:lineRule="exact"/>
        <w:ind w:firstLine="420" w:firstLineChars="200"/>
        <w:jc w:val="left"/>
        <w:rPr>
          <w:rFonts w:ascii="微软雅黑" w:hAnsi="微软雅黑" w:eastAsia="微软雅黑"/>
          <w:color w:val="000000"/>
          <w:szCs w:val="21"/>
        </w:rPr>
      </w:pPr>
      <w:r>
        <w:rPr>
          <w:rFonts w:hint="eastAsia" w:ascii="微软雅黑" w:hAnsi="微软雅黑" w:eastAsia="微软雅黑"/>
          <w:szCs w:val="21"/>
        </w:rPr>
        <w:t>根据</w:t>
      </w:r>
      <w:r>
        <w:rPr>
          <w:rFonts w:hint="eastAsia" w:ascii="微软雅黑" w:hAnsi="微软雅黑" w:eastAsia="微软雅黑"/>
          <w:b/>
          <w:color w:val="000000"/>
          <w:szCs w:val="21"/>
        </w:rPr>
        <w:t>客运枢纽</w:t>
      </w:r>
      <w:r>
        <w:rPr>
          <w:rFonts w:hint="eastAsia" w:ascii="微软雅黑" w:hAnsi="微软雅黑" w:eastAsia="微软雅黑"/>
          <w:szCs w:val="21"/>
        </w:rPr>
        <w:t>的功能定位，将衢州客运枢纽打造成安全便捷、秩序井然、环境舒适，富有衢州</w:t>
      </w:r>
      <w:r>
        <w:rPr>
          <w:rFonts w:hint="eastAsia" w:ascii="微软雅黑" w:hAnsi="微软雅黑" w:eastAsia="微软雅黑"/>
          <w:color w:val="000000"/>
          <w:szCs w:val="21"/>
        </w:rPr>
        <w:t>特色的“门户枢纽”，</w:t>
      </w:r>
      <w:r>
        <w:rPr>
          <w:rFonts w:hint="eastAsia" w:ascii="微软雅黑" w:hAnsi="微软雅黑" w:eastAsia="微软雅黑"/>
          <w:szCs w:val="21"/>
        </w:rPr>
        <w:t>树立国内交通枢纽的标杆和典范</w:t>
      </w:r>
      <w:r>
        <w:rPr>
          <w:rFonts w:hint="eastAsia" w:ascii="微软雅黑" w:hAnsi="微软雅黑" w:eastAsia="微软雅黑"/>
          <w:b/>
          <w:szCs w:val="21"/>
        </w:rPr>
        <w:t>。</w:t>
      </w:r>
    </w:p>
    <w:p>
      <w:pPr>
        <w:adjustRightInd w:val="0"/>
        <w:snapToGrid w:val="0"/>
        <w:spacing w:line="420" w:lineRule="exact"/>
        <w:ind w:firstLine="420" w:firstLineChars="200"/>
        <w:jc w:val="left"/>
        <w:rPr>
          <w:rFonts w:ascii="微软雅黑" w:hAnsi="微软雅黑" w:eastAsia="微软雅黑"/>
          <w:color w:val="000000"/>
          <w:szCs w:val="21"/>
        </w:rPr>
      </w:pPr>
      <w:r>
        <w:rPr>
          <w:rFonts w:hint="eastAsia" w:ascii="微软雅黑" w:hAnsi="微软雅黑" w:eastAsia="微软雅黑"/>
          <w:color w:val="000000"/>
          <w:szCs w:val="21"/>
        </w:rPr>
        <w:t>（1）提供安全有序的运营环境，规范安全管理行为，确保枢纽运营安全。</w:t>
      </w:r>
    </w:p>
    <w:p>
      <w:pPr>
        <w:adjustRightInd w:val="0"/>
        <w:snapToGrid w:val="0"/>
        <w:spacing w:line="420" w:lineRule="exact"/>
        <w:ind w:firstLine="420" w:firstLineChars="200"/>
        <w:jc w:val="left"/>
        <w:rPr>
          <w:rFonts w:ascii="微软雅黑" w:hAnsi="微软雅黑" w:eastAsia="微软雅黑"/>
          <w:color w:val="000000"/>
          <w:szCs w:val="21"/>
        </w:rPr>
      </w:pPr>
      <w:r>
        <w:rPr>
          <w:rFonts w:hint="eastAsia" w:ascii="微软雅黑" w:hAnsi="微软雅黑" w:eastAsia="微软雅黑"/>
          <w:color w:val="000000"/>
          <w:szCs w:val="21"/>
        </w:rPr>
        <w:t>（2）发挥“一体化管理、专业化运营”的管理优势；保持完善的设备设施和良好的运营服务，为旅客提供便利、舒适的出行环境。</w:t>
      </w:r>
    </w:p>
    <w:p>
      <w:pPr>
        <w:adjustRightInd w:val="0"/>
        <w:snapToGrid w:val="0"/>
        <w:spacing w:line="420" w:lineRule="exact"/>
        <w:ind w:firstLine="420" w:firstLineChars="200"/>
        <w:jc w:val="left"/>
        <w:rPr>
          <w:rFonts w:ascii="微软雅黑" w:hAnsi="微软雅黑" w:eastAsia="微软雅黑"/>
          <w:color w:val="000000"/>
          <w:szCs w:val="21"/>
        </w:rPr>
      </w:pPr>
      <w:r>
        <w:rPr>
          <w:rFonts w:hint="eastAsia" w:ascii="微软雅黑" w:hAnsi="微软雅黑" w:eastAsia="微软雅黑"/>
          <w:color w:val="000000"/>
          <w:szCs w:val="21"/>
        </w:rPr>
        <w:t>（3）兼顾社会效益和企业效益，实现枢纽可持续发展。</w:t>
      </w:r>
    </w:p>
    <w:p>
      <w:pPr>
        <w:adjustRightInd w:val="0"/>
        <w:snapToGrid w:val="0"/>
        <w:spacing w:line="420" w:lineRule="exact"/>
        <w:ind w:firstLine="420" w:firstLineChars="200"/>
        <w:jc w:val="left"/>
        <w:rPr>
          <w:rFonts w:ascii="微软雅黑" w:hAnsi="微软雅黑" w:eastAsia="微软雅黑"/>
          <w:color w:val="000000"/>
          <w:szCs w:val="21"/>
        </w:rPr>
      </w:pPr>
      <w:r>
        <w:rPr>
          <w:rFonts w:hint="eastAsia" w:ascii="微软雅黑" w:hAnsi="微软雅黑" w:eastAsia="微软雅黑" w:cs="宋体"/>
          <w:szCs w:val="21"/>
        </w:rPr>
        <w:t>（二）总体承诺</w:t>
      </w:r>
    </w:p>
    <w:p>
      <w:pPr>
        <w:tabs>
          <w:tab w:val="left" w:pos="900"/>
        </w:tabs>
        <w:adjustRightInd w:val="0"/>
        <w:snapToGrid w:val="0"/>
        <w:spacing w:line="420" w:lineRule="exact"/>
        <w:ind w:firstLine="420" w:firstLineChars="200"/>
        <w:rPr>
          <w:rFonts w:ascii="微软雅黑" w:hAnsi="微软雅黑" w:eastAsia="微软雅黑"/>
          <w:color w:val="000000"/>
          <w:szCs w:val="21"/>
        </w:rPr>
      </w:pPr>
      <w:r>
        <w:rPr>
          <w:rFonts w:hint="eastAsia" w:ascii="微软雅黑" w:hAnsi="微软雅黑" w:eastAsia="微软雅黑"/>
          <w:color w:val="000000"/>
          <w:szCs w:val="21"/>
        </w:rPr>
        <w:t>（1）确保无安全责任事故、无人身伤亡责任事故、无重大设备故障；</w:t>
      </w:r>
    </w:p>
    <w:p>
      <w:pPr>
        <w:tabs>
          <w:tab w:val="left" w:pos="900"/>
        </w:tabs>
        <w:adjustRightInd w:val="0"/>
        <w:snapToGrid w:val="0"/>
        <w:spacing w:line="420" w:lineRule="exact"/>
        <w:ind w:firstLine="420" w:firstLineChars="200"/>
        <w:rPr>
          <w:rFonts w:ascii="微软雅黑" w:hAnsi="微软雅黑" w:eastAsia="微软雅黑"/>
          <w:color w:val="000000"/>
          <w:szCs w:val="21"/>
        </w:rPr>
      </w:pPr>
      <w:r>
        <w:rPr>
          <w:rFonts w:hint="eastAsia" w:ascii="微软雅黑" w:hAnsi="微软雅黑" w:eastAsia="微软雅黑"/>
          <w:color w:val="000000"/>
          <w:szCs w:val="21"/>
        </w:rPr>
        <w:t>（2）管理规范、服务至上，客户服务满意率90%以上；</w:t>
      </w:r>
    </w:p>
    <w:p>
      <w:pPr>
        <w:tabs>
          <w:tab w:val="left" w:pos="900"/>
        </w:tabs>
        <w:adjustRightInd w:val="0"/>
        <w:snapToGrid w:val="0"/>
        <w:spacing w:line="420" w:lineRule="exact"/>
        <w:ind w:firstLine="420" w:firstLineChars="200"/>
        <w:rPr>
          <w:rFonts w:ascii="微软雅黑" w:hAnsi="微软雅黑" w:eastAsia="微软雅黑"/>
          <w:color w:val="000000"/>
          <w:szCs w:val="21"/>
        </w:rPr>
      </w:pPr>
      <w:r>
        <w:rPr>
          <w:rFonts w:hint="eastAsia" w:ascii="微软雅黑" w:hAnsi="微软雅黑" w:eastAsia="微软雅黑"/>
          <w:color w:val="000000"/>
          <w:szCs w:val="21"/>
        </w:rPr>
        <w:t>（3）创建环保、节能、绿色的形象服务窗口，成为衢州的城市名片。</w:t>
      </w:r>
    </w:p>
    <w:p>
      <w:pPr>
        <w:tabs>
          <w:tab w:val="left" w:pos="900"/>
        </w:tabs>
        <w:adjustRightInd w:val="0"/>
        <w:snapToGrid w:val="0"/>
        <w:spacing w:line="42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(三)分项管理指标</w:t>
      </w:r>
    </w:p>
    <w:p>
      <w:pPr>
        <w:tabs>
          <w:tab w:val="left" w:pos="900"/>
        </w:tabs>
        <w:adjustRightInd w:val="0"/>
        <w:snapToGrid w:val="0"/>
        <w:spacing w:line="400" w:lineRule="exact"/>
        <w:jc w:val="center"/>
        <w:rPr>
          <w:rFonts w:ascii="微软雅黑" w:hAnsi="微软雅黑" w:eastAsia="微软雅黑"/>
          <w:color w:val="000000"/>
          <w:szCs w:val="21"/>
        </w:rPr>
      </w:pPr>
      <w:r>
        <w:rPr>
          <w:rFonts w:hint="eastAsia" w:ascii="微软雅黑" w:hAnsi="微软雅黑" w:eastAsia="微软雅黑"/>
          <w:bCs/>
          <w:szCs w:val="21"/>
        </w:rPr>
        <w:t>分项管理指标一览表</w:t>
      </w:r>
    </w:p>
    <w:tbl>
      <w:tblPr>
        <w:tblStyle w:val="2"/>
        <w:tblW w:w="8238"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9"/>
        <w:gridCol w:w="4110"/>
        <w:gridCol w:w="316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59" w:type="dxa"/>
            <w:tcBorders>
              <w:top w:val="double" w:color="000000" w:sz="6" w:space="0"/>
              <w:bottom w:val="single" w:color="000000" w:sz="6" w:space="0"/>
            </w:tcBorders>
          </w:tcPr>
          <w:p>
            <w:pPr>
              <w:snapToGrid w:val="0"/>
              <w:spacing w:beforeLines="50" w:afterLines="50" w:line="240" w:lineRule="exact"/>
              <w:jc w:val="center"/>
              <w:rPr>
                <w:rFonts w:ascii="宋体" w:hAnsi="宋体"/>
                <w:b/>
                <w:bCs/>
                <w:caps/>
                <w:color w:val="000000"/>
                <w:szCs w:val="21"/>
              </w:rPr>
            </w:pPr>
            <w:r>
              <w:rPr>
                <w:rFonts w:hint="eastAsia" w:ascii="宋体" w:hAnsi="宋体"/>
                <w:b/>
                <w:bCs/>
                <w:caps/>
                <w:color w:val="000000"/>
                <w:szCs w:val="21"/>
              </w:rPr>
              <w:t>序号</w:t>
            </w:r>
          </w:p>
        </w:tc>
        <w:tc>
          <w:tcPr>
            <w:tcW w:w="4110" w:type="dxa"/>
            <w:tcBorders>
              <w:top w:val="double" w:color="000000" w:sz="6" w:space="0"/>
              <w:bottom w:val="single" w:color="000000" w:sz="6" w:space="0"/>
            </w:tcBorders>
          </w:tcPr>
          <w:p>
            <w:pPr>
              <w:snapToGrid w:val="0"/>
              <w:spacing w:beforeLines="50" w:afterLines="50" w:line="240" w:lineRule="exact"/>
              <w:jc w:val="center"/>
              <w:rPr>
                <w:rFonts w:ascii="宋体" w:hAnsi="宋体"/>
                <w:b/>
                <w:bCs/>
                <w:caps/>
                <w:color w:val="000000"/>
                <w:szCs w:val="21"/>
              </w:rPr>
            </w:pPr>
            <w:r>
              <w:rPr>
                <w:rFonts w:hint="eastAsia" w:ascii="宋体" w:hAnsi="宋体"/>
                <w:b/>
                <w:bCs/>
                <w:caps/>
                <w:color w:val="000000"/>
                <w:szCs w:val="21"/>
              </w:rPr>
              <w:t>指标名称</w:t>
            </w:r>
          </w:p>
        </w:tc>
        <w:tc>
          <w:tcPr>
            <w:tcW w:w="3169" w:type="dxa"/>
            <w:tcBorders>
              <w:top w:val="double" w:color="000000" w:sz="6" w:space="0"/>
              <w:bottom w:val="single" w:color="000000" w:sz="6" w:space="0"/>
            </w:tcBorders>
          </w:tcPr>
          <w:p>
            <w:pPr>
              <w:snapToGrid w:val="0"/>
              <w:spacing w:beforeLines="50" w:afterLines="50" w:line="240" w:lineRule="exact"/>
              <w:jc w:val="center"/>
              <w:rPr>
                <w:rFonts w:ascii="宋体" w:hAnsi="宋体"/>
                <w:b/>
                <w:bCs/>
                <w:caps/>
                <w:color w:val="000000"/>
                <w:szCs w:val="21"/>
              </w:rPr>
            </w:pPr>
            <w:r>
              <w:rPr>
                <w:rFonts w:hint="eastAsia" w:ascii="宋体" w:hAnsi="宋体"/>
                <w:b/>
                <w:bCs/>
                <w:caps/>
                <w:color w:val="000000"/>
                <w:szCs w:val="21"/>
              </w:rPr>
              <w:t>管理指标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59" w:type="dxa"/>
            <w:tcBorders>
              <w:top w:val="single" w:color="000000" w:sz="6" w:space="0"/>
            </w:tcBorders>
            <w:vAlign w:val="center"/>
          </w:tcPr>
          <w:p>
            <w:pPr>
              <w:snapToGrid w:val="0"/>
              <w:spacing w:line="360" w:lineRule="exact"/>
              <w:jc w:val="center"/>
              <w:rPr>
                <w:rFonts w:ascii="宋体" w:hAnsi="宋体"/>
                <w:color w:val="000000"/>
                <w:szCs w:val="21"/>
              </w:rPr>
            </w:pPr>
            <w:r>
              <w:rPr>
                <w:rFonts w:hint="eastAsia" w:ascii="宋体" w:hAnsi="宋体"/>
                <w:color w:val="000000"/>
                <w:szCs w:val="21"/>
              </w:rPr>
              <w:t>1</w:t>
            </w:r>
          </w:p>
        </w:tc>
        <w:tc>
          <w:tcPr>
            <w:tcW w:w="4110" w:type="dxa"/>
            <w:tcBorders>
              <w:top w:val="single" w:color="000000" w:sz="6" w:space="0"/>
            </w:tcBorders>
            <w:vAlign w:val="center"/>
          </w:tcPr>
          <w:p>
            <w:pPr>
              <w:snapToGrid w:val="0"/>
              <w:spacing w:line="360" w:lineRule="exact"/>
              <w:rPr>
                <w:rFonts w:ascii="宋体" w:hAnsi="宋体"/>
                <w:color w:val="000000"/>
                <w:szCs w:val="21"/>
              </w:rPr>
            </w:pPr>
            <w:r>
              <w:rPr>
                <w:rFonts w:hint="eastAsia" w:ascii="宋体" w:hAnsi="宋体"/>
                <w:color w:val="000000"/>
                <w:szCs w:val="21"/>
              </w:rPr>
              <w:t>房屋及配套设施完好率</w:t>
            </w:r>
          </w:p>
        </w:tc>
        <w:tc>
          <w:tcPr>
            <w:tcW w:w="3169" w:type="dxa"/>
            <w:tcBorders>
              <w:top w:val="single" w:color="000000" w:sz="6" w:space="0"/>
            </w:tcBorders>
            <w:vAlign w:val="center"/>
          </w:tcPr>
          <w:p>
            <w:pPr>
              <w:snapToGrid w:val="0"/>
              <w:spacing w:line="360" w:lineRule="exact"/>
              <w:rPr>
                <w:rFonts w:ascii="宋体" w:hAnsi="宋体"/>
                <w:color w:val="000000"/>
                <w:szCs w:val="21"/>
              </w:rPr>
            </w:pPr>
            <w:r>
              <w:rPr>
                <w:rFonts w:hint="eastAsia" w:ascii="宋体" w:hAnsi="宋体"/>
                <w:color w:val="000000"/>
                <w:szCs w:val="21"/>
              </w:rPr>
              <w:t>98%以上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2"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2</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设备设施及房屋零修、急修及时率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3</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设施设备返修率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0.5%以下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4</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维修工程质量回访率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重大维修100%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2"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5</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绿化完好率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98%以上</w:t>
            </w:r>
          </w:p>
          <w:p>
            <w:pPr>
              <w:snapToGrid w:val="0"/>
              <w:spacing w:line="360" w:lineRule="exact"/>
              <w:rPr>
                <w:rFonts w:ascii="宋体" w:hAnsi="宋体"/>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2"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6</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清洁保洁率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98%以上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2"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7</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设备完好率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98%以上，消防设施100％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7"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8</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路灯亮灯率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99%以上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9</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火灾发生率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7"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10</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安全责任事故</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exact"/>
          <w:jc w:val="center"/>
        </w:trPr>
        <w:tc>
          <w:tcPr>
            <w:tcW w:w="959" w:type="dxa"/>
            <w:vAlign w:val="center"/>
          </w:tcPr>
          <w:p>
            <w:pPr>
              <w:snapToGrid w:val="0"/>
              <w:spacing w:line="360" w:lineRule="exact"/>
              <w:jc w:val="center"/>
              <w:rPr>
                <w:rFonts w:ascii="宋体" w:hAnsi="宋体"/>
                <w:color w:val="000000"/>
                <w:szCs w:val="21"/>
              </w:rPr>
            </w:pPr>
            <w:r>
              <w:rPr>
                <w:rFonts w:hint="eastAsia" w:ascii="宋体" w:hAnsi="宋体"/>
                <w:color w:val="000000"/>
                <w:szCs w:val="21"/>
              </w:rPr>
              <w:t>11</w:t>
            </w:r>
          </w:p>
        </w:tc>
        <w:tc>
          <w:tcPr>
            <w:tcW w:w="4110" w:type="dxa"/>
            <w:vAlign w:val="center"/>
          </w:tcPr>
          <w:p>
            <w:pPr>
              <w:snapToGrid w:val="0"/>
              <w:spacing w:line="360" w:lineRule="exact"/>
              <w:rPr>
                <w:rFonts w:ascii="宋体" w:hAnsi="宋体"/>
                <w:color w:val="000000"/>
                <w:szCs w:val="21"/>
              </w:rPr>
            </w:pPr>
            <w:r>
              <w:rPr>
                <w:rFonts w:hint="eastAsia" w:ascii="宋体" w:hAnsi="宋体"/>
                <w:color w:val="000000"/>
                <w:szCs w:val="21"/>
              </w:rPr>
              <w:t>物业管理服务满意率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90%以上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7" w:hRule="exact"/>
          <w:jc w:val="center"/>
        </w:trPr>
        <w:tc>
          <w:tcPr>
            <w:tcW w:w="959" w:type="dxa"/>
            <w:vAlign w:val="center"/>
          </w:tcPr>
          <w:p>
            <w:pPr>
              <w:snapToGrid w:val="0"/>
              <w:spacing w:line="360" w:lineRule="exact"/>
              <w:jc w:val="center"/>
              <w:rPr>
                <w:rFonts w:ascii="宋体" w:hAnsi="宋体"/>
                <w:szCs w:val="21"/>
              </w:rPr>
            </w:pPr>
            <w:r>
              <w:rPr>
                <w:rFonts w:hint="eastAsia" w:ascii="宋体" w:hAnsi="宋体"/>
                <w:szCs w:val="21"/>
              </w:rPr>
              <w:t>12</w:t>
            </w:r>
          </w:p>
        </w:tc>
        <w:tc>
          <w:tcPr>
            <w:tcW w:w="4110" w:type="dxa"/>
            <w:vAlign w:val="center"/>
          </w:tcPr>
          <w:p>
            <w:pPr>
              <w:snapToGrid w:val="0"/>
              <w:spacing w:line="360" w:lineRule="exact"/>
              <w:rPr>
                <w:rFonts w:ascii="宋体" w:hAnsi="宋体"/>
                <w:szCs w:val="21"/>
              </w:rPr>
            </w:pPr>
            <w:r>
              <w:rPr>
                <w:rFonts w:hint="eastAsia" w:ascii="宋体" w:hAnsi="宋体"/>
                <w:szCs w:val="21"/>
              </w:rPr>
              <w:t>投诉处理率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2" w:hRule="exact"/>
          <w:jc w:val="center"/>
        </w:trPr>
        <w:tc>
          <w:tcPr>
            <w:tcW w:w="959" w:type="dxa"/>
            <w:vAlign w:val="center"/>
          </w:tcPr>
          <w:p>
            <w:pPr>
              <w:snapToGrid w:val="0"/>
              <w:spacing w:line="360" w:lineRule="exact"/>
              <w:jc w:val="center"/>
              <w:rPr>
                <w:rFonts w:ascii="宋体" w:hAnsi="宋体"/>
                <w:szCs w:val="21"/>
              </w:rPr>
            </w:pPr>
            <w:r>
              <w:rPr>
                <w:rFonts w:hint="eastAsia" w:ascii="宋体" w:hAnsi="宋体"/>
                <w:szCs w:val="21"/>
              </w:rPr>
              <w:t>13</w:t>
            </w:r>
          </w:p>
        </w:tc>
        <w:tc>
          <w:tcPr>
            <w:tcW w:w="4110" w:type="dxa"/>
            <w:vAlign w:val="center"/>
          </w:tcPr>
          <w:p>
            <w:pPr>
              <w:snapToGrid w:val="0"/>
              <w:spacing w:line="360" w:lineRule="exact"/>
              <w:rPr>
                <w:rFonts w:ascii="宋体" w:hAnsi="宋体"/>
                <w:szCs w:val="21"/>
              </w:rPr>
            </w:pPr>
            <w:r>
              <w:rPr>
                <w:rFonts w:hint="eastAsia" w:ascii="宋体" w:hAnsi="宋体"/>
                <w:szCs w:val="21"/>
              </w:rPr>
              <w:t>业主及上级有关部门交办工作完成率</w:t>
            </w:r>
          </w:p>
        </w:tc>
        <w:tc>
          <w:tcPr>
            <w:tcW w:w="3169" w:type="dxa"/>
            <w:vAlign w:val="center"/>
          </w:tcPr>
          <w:p>
            <w:pPr>
              <w:snapToGrid w:val="0"/>
              <w:spacing w:line="360" w:lineRule="exact"/>
              <w:rPr>
                <w:rFonts w:ascii="宋体" w:hAnsi="宋体"/>
                <w:color w:val="000000"/>
                <w:szCs w:val="21"/>
              </w:rPr>
            </w:pPr>
            <w:r>
              <w:rPr>
                <w:rFonts w:hint="eastAsia" w:ascii="宋体" w:hAnsi="宋体"/>
                <w:color w:val="000000"/>
                <w:szCs w:val="21"/>
              </w:rPr>
              <w:t>100%</w:t>
            </w:r>
          </w:p>
        </w:tc>
      </w:tr>
    </w:tbl>
    <w:p>
      <w:pPr>
        <w:spacing w:beforeLines="50" w:afterLines="50" w:line="400" w:lineRule="exact"/>
        <w:ind w:firstLine="523" w:firstLineChars="249"/>
        <w:rPr>
          <w:rFonts w:ascii="微软雅黑" w:hAnsi="微软雅黑" w:eastAsia="微软雅黑"/>
          <w:b/>
          <w:bCs/>
          <w:szCs w:val="21"/>
        </w:rPr>
      </w:pPr>
    </w:p>
    <w:p>
      <w:pPr>
        <w:spacing w:beforeLines="50" w:afterLines="50" w:line="400" w:lineRule="exact"/>
        <w:ind w:firstLine="523" w:firstLineChars="249"/>
        <w:rPr>
          <w:rFonts w:ascii="微软雅黑" w:hAnsi="微软雅黑" w:eastAsia="微软雅黑"/>
          <w:b/>
          <w:bCs/>
          <w:szCs w:val="21"/>
        </w:rPr>
      </w:pPr>
      <w:r>
        <w:rPr>
          <w:rFonts w:hint="eastAsia" w:ascii="微软雅黑" w:hAnsi="微软雅黑" w:eastAsia="微软雅黑"/>
          <w:b/>
          <w:bCs/>
          <w:szCs w:val="21"/>
        </w:rPr>
        <w:t>七、服务要求</w:t>
      </w:r>
    </w:p>
    <w:tbl>
      <w:tblPr>
        <w:tblStyle w:val="2"/>
        <w:tblW w:w="9129" w:type="dxa"/>
        <w:jc w:val="center"/>
        <w:tblInd w:w="0" w:type="dxa"/>
        <w:tblLayout w:type="fixed"/>
        <w:tblCellMar>
          <w:top w:w="0" w:type="dxa"/>
          <w:left w:w="108" w:type="dxa"/>
          <w:bottom w:w="0" w:type="dxa"/>
          <w:right w:w="108" w:type="dxa"/>
        </w:tblCellMar>
      </w:tblPr>
      <w:tblGrid>
        <w:gridCol w:w="477"/>
        <w:gridCol w:w="3004"/>
        <w:gridCol w:w="5648"/>
      </w:tblGrid>
      <w:tr>
        <w:tblPrEx>
          <w:tblLayout w:type="fixed"/>
          <w:tblCellMar>
            <w:top w:w="0" w:type="dxa"/>
            <w:left w:w="108" w:type="dxa"/>
            <w:bottom w:w="0" w:type="dxa"/>
            <w:right w:w="108" w:type="dxa"/>
          </w:tblCellMar>
        </w:tblPrEx>
        <w:trPr>
          <w:trHeight w:val="370" w:hRule="atLeast"/>
          <w:jc w:val="center"/>
        </w:trPr>
        <w:tc>
          <w:tcPr>
            <w:tcW w:w="477"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一</w:t>
            </w:r>
          </w:p>
        </w:tc>
        <w:tc>
          <w:tcPr>
            <w:tcW w:w="3004" w:type="dxa"/>
            <w:tcBorders>
              <w:top w:val="single" w:color="auto" w:sz="4" w:space="0"/>
              <w:left w:val="nil"/>
              <w:bottom w:val="single" w:color="auto" w:sz="4" w:space="0"/>
              <w:right w:val="single" w:color="auto" w:sz="4" w:space="0"/>
            </w:tcBorders>
            <w:noWrap/>
            <w:vAlign w:val="center"/>
          </w:tcPr>
          <w:p>
            <w:pPr>
              <w:snapToGrid w:val="0"/>
              <w:ind w:firstLine="420" w:firstLineChars="200"/>
              <w:jc w:val="center"/>
              <w:rPr>
                <w:rFonts w:ascii="微软雅黑" w:hAnsi="微软雅黑" w:eastAsia="微软雅黑" w:cs="宋体"/>
                <w:szCs w:val="21"/>
              </w:rPr>
            </w:pPr>
            <w:r>
              <w:rPr>
                <w:rFonts w:hint="eastAsia" w:ascii="微软雅黑" w:hAnsi="微软雅黑" w:eastAsia="微软雅黑" w:cs="宋体"/>
                <w:szCs w:val="21"/>
              </w:rPr>
              <w:t>运营管理</w:t>
            </w: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服务要求</w:t>
            </w:r>
          </w:p>
        </w:tc>
      </w:tr>
      <w:tr>
        <w:tblPrEx>
          <w:tblLayout w:type="fixed"/>
          <w:tblCellMar>
            <w:top w:w="0" w:type="dxa"/>
            <w:left w:w="108" w:type="dxa"/>
            <w:bottom w:w="0" w:type="dxa"/>
            <w:right w:w="108" w:type="dxa"/>
          </w:tblCellMar>
        </w:tblPrEx>
        <w:trPr>
          <w:trHeight w:val="851"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szCs w:val="21"/>
              </w:rPr>
            </w:pPr>
          </w:p>
        </w:tc>
        <w:tc>
          <w:tcPr>
            <w:tcW w:w="3004" w:type="dxa"/>
            <w:tcBorders>
              <w:top w:val="single" w:color="auto" w:sz="4" w:space="0"/>
              <w:left w:val="nil"/>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1.运营工作计划的制订、实施和日常运营管理工作；</w:t>
            </w:r>
          </w:p>
          <w:p>
            <w:pPr>
              <w:snapToGrid w:val="0"/>
              <w:rPr>
                <w:rFonts w:asciiTheme="minorEastAsia" w:hAnsiTheme="minorEastAsia" w:eastAsiaTheme="minorEastAsia"/>
                <w:szCs w:val="21"/>
              </w:rPr>
            </w:pPr>
            <w:r>
              <w:rPr>
                <w:rFonts w:hint="eastAsia" w:ascii="宋体" w:hAnsi="宋体"/>
                <w:szCs w:val="21"/>
              </w:rPr>
              <w:t>2.市政府</w:t>
            </w:r>
            <w:r>
              <w:rPr>
                <w:rFonts w:hint="eastAsia" w:asciiTheme="minorEastAsia" w:hAnsiTheme="minorEastAsia" w:eastAsiaTheme="minorEastAsia"/>
                <w:szCs w:val="21"/>
              </w:rPr>
              <w:t>相关职能管理部门及车辆运营单位的工作协调；</w:t>
            </w:r>
          </w:p>
          <w:p>
            <w:pPr>
              <w:snapToGrid w:val="0"/>
              <w:rPr>
                <w:rFonts w:ascii="宋体" w:hAnsi="宋体"/>
                <w:szCs w:val="21"/>
              </w:rPr>
            </w:pPr>
            <w:r>
              <w:rPr>
                <w:rFonts w:hint="eastAsia" w:ascii="宋体" w:hAnsi="宋体"/>
                <w:szCs w:val="21"/>
              </w:rPr>
              <w:t>3.智能化及信息平台建设管理工作。</w:t>
            </w:r>
          </w:p>
          <w:p>
            <w:pPr>
              <w:snapToGrid w:val="0"/>
              <w:rPr>
                <w:rFonts w:ascii="宋体" w:hAnsi="宋体"/>
                <w:szCs w:val="21"/>
              </w:rPr>
            </w:pP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1.做好与铁路、交通、交警、运管等单位的工作联动，协调好枢纽内各车辆运营单位工作；</w:t>
            </w:r>
          </w:p>
          <w:p>
            <w:pPr>
              <w:snapToGrid w:val="0"/>
              <w:rPr>
                <w:rFonts w:ascii="宋体" w:hAnsi="宋体"/>
                <w:szCs w:val="21"/>
              </w:rPr>
            </w:pPr>
            <w:r>
              <w:rPr>
                <w:rFonts w:hint="eastAsia" w:ascii="宋体" w:hAnsi="宋体"/>
                <w:szCs w:val="21"/>
              </w:rPr>
              <w:t>2.确保整个枢纽运行管理有序，突发事件应急处置及时；</w:t>
            </w:r>
          </w:p>
          <w:p>
            <w:pPr>
              <w:snapToGrid w:val="0"/>
              <w:rPr>
                <w:rFonts w:ascii="宋体" w:hAnsi="宋体"/>
                <w:szCs w:val="21"/>
              </w:rPr>
            </w:pPr>
            <w:r>
              <w:rPr>
                <w:rFonts w:hint="eastAsia" w:ascii="宋体" w:hAnsi="宋体"/>
                <w:szCs w:val="21"/>
              </w:rPr>
              <w:t>3.消监控高配室按要求做好值班管理工作，确保运行安全；</w:t>
            </w:r>
          </w:p>
          <w:p>
            <w:pPr>
              <w:snapToGrid w:val="0"/>
              <w:rPr>
                <w:rFonts w:ascii="宋体" w:hAnsi="宋体"/>
                <w:szCs w:val="21"/>
              </w:rPr>
            </w:pPr>
            <w:r>
              <w:rPr>
                <w:rFonts w:hint="eastAsia" w:ascii="宋体" w:hAnsi="宋体"/>
                <w:szCs w:val="21"/>
              </w:rPr>
              <w:t xml:space="preserve">4.加强信息中心管理，服务好各车辆运营单位，正确、及时、规范发布有关信息； </w:t>
            </w:r>
          </w:p>
          <w:p>
            <w:pPr>
              <w:snapToGrid w:val="0"/>
              <w:rPr>
                <w:rFonts w:ascii="宋体" w:hAnsi="宋体"/>
                <w:szCs w:val="21"/>
              </w:rPr>
            </w:pPr>
            <w:r>
              <w:rPr>
                <w:rFonts w:hint="eastAsia" w:ascii="宋体" w:hAnsi="宋体"/>
                <w:szCs w:val="21"/>
              </w:rPr>
              <w:t>5.利用枢纽视频监控系统、保安队伍等资源优势，与属地派出所、交警、市政府广场管理处等社会治安管理力量建立安全联防控系统，共同维护枢纽安全。</w:t>
            </w:r>
          </w:p>
        </w:tc>
      </w:tr>
      <w:tr>
        <w:tblPrEx>
          <w:tblLayout w:type="fixed"/>
          <w:tblCellMar>
            <w:top w:w="0" w:type="dxa"/>
            <w:left w:w="108" w:type="dxa"/>
            <w:bottom w:w="0" w:type="dxa"/>
            <w:right w:w="108" w:type="dxa"/>
          </w:tblCellMar>
        </w:tblPrEx>
        <w:trPr>
          <w:trHeight w:val="90" w:hRule="atLeast"/>
          <w:jc w:val="center"/>
        </w:trPr>
        <w:tc>
          <w:tcPr>
            <w:tcW w:w="477"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二</w:t>
            </w:r>
          </w:p>
        </w:tc>
        <w:tc>
          <w:tcPr>
            <w:tcW w:w="3004" w:type="dxa"/>
            <w:tcBorders>
              <w:top w:val="single" w:color="auto" w:sz="4" w:space="0"/>
              <w:left w:val="nil"/>
              <w:bottom w:val="single" w:color="auto" w:sz="4" w:space="0"/>
              <w:right w:val="single" w:color="auto" w:sz="4" w:space="0"/>
            </w:tcBorders>
            <w:noWrap/>
            <w:vAlign w:val="center"/>
          </w:tcPr>
          <w:p>
            <w:pPr>
              <w:snapToGrid w:val="0"/>
              <w:ind w:firstLine="420" w:firstLineChars="200"/>
              <w:jc w:val="center"/>
              <w:rPr>
                <w:rFonts w:ascii="微软雅黑" w:hAnsi="微软雅黑" w:eastAsia="微软雅黑" w:cs="宋体"/>
                <w:szCs w:val="21"/>
              </w:rPr>
            </w:pPr>
            <w:r>
              <w:rPr>
                <w:rFonts w:hint="eastAsia" w:ascii="微软雅黑" w:hAnsi="微软雅黑" w:eastAsia="微软雅黑" w:cs="宋体"/>
                <w:szCs w:val="21"/>
              </w:rPr>
              <w:t>秩序管理</w:t>
            </w: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ind w:firstLine="420" w:firstLineChars="200"/>
              <w:jc w:val="center"/>
              <w:rPr>
                <w:rFonts w:ascii="宋体" w:hAnsi="宋体"/>
                <w:szCs w:val="21"/>
              </w:rPr>
            </w:pPr>
            <w:r>
              <w:rPr>
                <w:rFonts w:hint="eastAsia" w:ascii="微软雅黑" w:hAnsi="微软雅黑" w:eastAsia="微软雅黑" w:cs="宋体"/>
                <w:szCs w:val="21"/>
              </w:rPr>
              <w:t>服务要求</w:t>
            </w:r>
          </w:p>
        </w:tc>
      </w:tr>
      <w:tr>
        <w:tblPrEx>
          <w:tblLayout w:type="fixed"/>
          <w:tblCellMar>
            <w:top w:w="0" w:type="dxa"/>
            <w:left w:w="108" w:type="dxa"/>
            <w:bottom w:w="0" w:type="dxa"/>
            <w:right w:w="108" w:type="dxa"/>
          </w:tblCellMar>
        </w:tblPrEx>
        <w:trPr>
          <w:trHeight w:val="860"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szCs w:val="21"/>
              </w:rPr>
            </w:pPr>
          </w:p>
        </w:tc>
        <w:tc>
          <w:tcPr>
            <w:tcW w:w="3004" w:type="dxa"/>
            <w:tcBorders>
              <w:top w:val="single" w:color="auto" w:sz="4" w:space="0"/>
              <w:left w:val="nil"/>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1.枢纽安全秩序管理</w:t>
            </w:r>
          </w:p>
          <w:p>
            <w:pPr>
              <w:snapToGrid w:val="0"/>
              <w:rPr>
                <w:rFonts w:ascii="宋体" w:hAnsi="宋体"/>
                <w:szCs w:val="21"/>
              </w:rPr>
            </w:pPr>
            <w:r>
              <w:rPr>
                <w:rFonts w:hint="eastAsia" w:ascii="宋体" w:hAnsi="宋体"/>
                <w:szCs w:val="21"/>
              </w:rPr>
              <w:t>2.固定资产、设施设备管理；</w:t>
            </w:r>
          </w:p>
          <w:p>
            <w:pPr>
              <w:snapToGrid w:val="0"/>
              <w:rPr>
                <w:rFonts w:ascii="宋体" w:hAnsi="宋体"/>
                <w:szCs w:val="21"/>
              </w:rPr>
            </w:pPr>
            <w:r>
              <w:rPr>
                <w:rFonts w:hint="eastAsia" w:ascii="宋体" w:hAnsi="宋体"/>
                <w:szCs w:val="21"/>
              </w:rPr>
              <w:t>3.反恐防恐，综合治理，防火防盗；</w:t>
            </w:r>
          </w:p>
          <w:p>
            <w:pPr>
              <w:snapToGrid w:val="0"/>
              <w:rPr>
                <w:rFonts w:ascii="宋体" w:hAnsi="宋体"/>
                <w:szCs w:val="21"/>
              </w:rPr>
            </w:pPr>
            <w:r>
              <w:rPr>
                <w:rFonts w:hint="eastAsia" w:ascii="宋体" w:hAnsi="宋体"/>
                <w:szCs w:val="21"/>
              </w:rPr>
              <w:t>4.突发性事件预防和处理；</w:t>
            </w:r>
          </w:p>
          <w:p>
            <w:pPr>
              <w:adjustRightInd w:val="0"/>
              <w:snapToGrid w:val="0"/>
              <w:spacing w:line="312" w:lineRule="auto"/>
              <w:rPr>
                <w:rFonts w:ascii="宋体" w:hAnsi="宋体"/>
                <w:szCs w:val="21"/>
              </w:rPr>
            </w:pPr>
            <w:r>
              <w:rPr>
                <w:rFonts w:hint="eastAsia" w:ascii="宋体" w:hAnsi="宋体"/>
                <w:szCs w:val="21"/>
              </w:rPr>
              <w:t>5.消监控室及停车场管理；</w:t>
            </w:r>
          </w:p>
        </w:tc>
        <w:tc>
          <w:tcPr>
            <w:tcW w:w="564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宋体" w:hAnsi="宋体"/>
                <w:szCs w:val="21"/>
              </w:rPr>
            </w:pPr>
            <w:r>
              <w:rPr>
                <w:rFonts w:hint="eastAsia" w:ascii="宋体" w:hAnsi="宋体"/>
                <w:szCs w:val="21"/>
              </w:rPr>
              <w:t>1.确保全天24小时有安保人员现场值班，正确规范开展旅客疏导服务，维护服务场所安全和正常工作秩序；</w:t>
            </w:r>
          </w:p>
          <w:p>
            <w:pPr>
              <w:widowControl/>
              <w:tabs>
                <w:tab w:val="left" w:pos="312"/>
              </w:tabs>
              <w:adjustRightInd w:val="0"/>
              <w:snapToGrid w:val="0"/>
              <w:rPr>
                <w:rFonts w:ascii="宋体" w:hAnsi="宋体"/>
                <w:szCs w:val="21"/>
              </w:rPr>
            </w:pPr>
            <w:r>
              <w:rPr>
                <w:rFonts w:hint="eastAsia" w:ascii="宋体" w:hAnsi="宋体"/>
                <w:szCs w:val="21"/>
              </w:rPr>
              <w:t>2.严格按照工作规程及要求做好区域执勤、巡逻，不遗漏巡视事项，杜绝安全盲点，加强车辆停放管理、人员秩序维护、消监控室值班，确保管理区域固定资产、设施设备安全无遗失；</w:t>
            </w:r>
          </w:p>
          <w:p>
            <w:pPr>
              <w:widowControl/>
              <w:adjustRightInd w:val="0"/>
              <w:snapToGrid w:val="0"/>
              <w:rPr>
                <w:rFonts w:ascii="宋体" w:hAnsi="宋体"/>
                <w:szCs w:val="21"/>
              </w:rPr>
            </w:pPr>
            <w:r>
              <w:rPr>
                <w:rFonts w:hint="eastAsia" w:ascii="宋体" w:hAnsi="宋体"/>
                <w:szCs w:val="21"/>
              </w:rPr>
              <w:t xml:space="preserve">3.做好消防巡检、消火栓维护，消防器材维护，确保设备运行安全，消防设施完好有效； </w:t>
            </w:r>
          </w:p>
          <w:p>
            <w:pPr>
              <w:widowControl/>
              <w:adjustRightInd w:val="0"/>
              <w:snapToGrid w:val="0"/>
              <w:rPr>
                <w:rFonts w:ascii="宋体" w:hAnsi="宋体"/>
                <w:szCs w:val="21"/>
              </w:rPr>
            </w:pPr>
            <w:r>
              <w:rPr>
                <w:rFonts w:hint="eastAsia" w:ascii="宋体" w:hAnsi="宋体"/>
                <w:szCs w:val="21"/>
              </w:rPr>
              <w:t>4.加强安全、消防及反恐防恐工作，建立安全联防机制，确保辖区内不发生安全责任事故；</w:t>
            </w:r>
          </w:p>
          <w:p>
            <w:pPr>
              <w:widowControl/>
              <w:adjustRightInd w:val="0"/>
              <w:snapToGrid w:val="0"/>
              <w:rPr>
                <w:rFonts w:ascii="宋体" w:hAnsi="宋体"/>
                <w:szCs w:val="21"/>
              </w:rPr>
            </w:pPr>
            <w:r>
              <w:rPr>
                <w:rFonts w:hint="eastAsia" w:ascii="宋体" w:hAnsi="宋体"/>
                <w:szCs w:val="21"/>
              </w:rPr>
              <w:t xml:space="preserve">5.工作人员责任心强，辖区内不文明现象以及违法违章行为能得到及时制止； </w:t>
            </w:r>
          </w:p>
          <w:p>
            <w:pPr>
              <w:snapToGrid w:val="0"/>
              <w:jc w:val="left"/>
              <w:rPr>
                <w:rFonts w:ascii="微软雅黑" w:hAnsi="微软雅黑" w:eastAsia="微软雅黑" w:cs="宋体"/>
                <w:szCs w:val="21"/>
              </w:rPr>
            </w:pPr>
            <w:r>
              <w:rPr>
                <w:rFonts w:hint="eastAsia" w:ascii="宋体" w:hAnsi="宋体"/>
                <w:szCs w:val="21"/>
              </w:rPr>
              <w:t>6.做好安全突发性事件的预防工作，对发现的可疑人员、可疑物品、安全隐患处置得当及时，确保人身及财产安全。</w:t>
            </w:r>
          </w:p>
        </w:tc>
      </w:tr>
      <w:tr>
        <w:tblPrEx>
          <w:tblLayout w:type="fixed"/>
          <w:tblCellMar>
            <w:top w:w="0" w:type="dxa"/>
            <w:left w:w="108" w:type="dxa"/>
            <w:bottom w:w="0" w:type="dxa"/>
            <w:right w:w="108" w:type="dxa"/>
          </w:tblCellMar>
        </w:tblPrEx>
        <w:trPr>
          <w:trHeight w:val="440" w:hRule="atLeast"/>
          <w:jc w:val="center"/>
        </w:trPr>
        <w:tc>
          <w:tcPr>
            <w:tcW w:w="477"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三</w:t>
            </w:r>
          </w:p>
        </w:tc>
        <w:tc>
          <w:tcPr>
            <w:tcW w:w="3004" w:type="dxa"/>
            <w:tcBorders>
              <w:top w:val="single" w:color="auto" w:sz="4" w:space="0"/>
              <w:left w:val="nil"/>
              <w:bottom w:val="single" w:color="auto" w:sz="4" w:space="0"/>
              <w:right w:val="single" w:color="auto" w:sz="4" w:space="0"/>
            </w:tcBorders>
            <w:noWrap/>
            <w:vAlign w:val="center"/>
          </w:tcPr>
          <w:p>
            <w:pPr>
              <w:snapToGrid w:val="0"/>
              <w:ind w:firstLine="420" w:firstLineChars="200"/>
              <w:jc w:val="center"/>
              <w:rPr>
                <w:rFonts w:ascii="微软雅黑" w:hAnsi="微软雅黑" w:eastAsia="微软雅黑" w:cs="宋体"/>
                <w:szCs w:val="21"/>
              </w:rPr>
            </w:pPr>
            <w:r>
              <w:rPr>
                <w:rFonts w:hint="eastAsia" w:ascii="微软雅黑" w:hAnsi="微软雅黑" w:eastAsia="微软雅黑" w:cs="宋体"/>
                <w:szCs w:val="21"/>
              </w:rPr>
              <w:t>清洁卫生</w:t>
            </w: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ind w:firstLine="420" w:firstLineChars="200"/>
              <w:jc w:val="center"/>
              <w:rPr>
                <w:rFonts w:ascii="微软雅黑" w:hAnsi="微软雅黑" w:eastAsia="微软雅黑" w:cs="宋体"/>
                <w:szCs w:val="21"/>
              </w:rPr>
            </w:pPr>
            <w:r>
              <w:rPr>
                <w:rFonts w:hint="eastAsia" w:ascii="微软雅黑" w:hAnsi="微软雅黑" w:eastAsia="微软雅黑" w:cs="宋体"/>
                <w:szCs w:val="21"/>
              </w:rPr>
              <w:t>服务要求</w:t>
            </w:r>
          </w:p>
        </w:tc>
      </w:tr>
      <w:tr>
        <w:tblPrEx>
          <w:tblLayout w:type="fixed"/>
          <w:tblCellMar>
            <w:top w:w="0" w:type="dxa"/>
            <w:left w:w="108" w:type="dxa"/>
            <w:bottom w:w="0" w:type="dxa"/>
            <w:right w:w="108" w:type="dxa"/>
          </w:tblCellMar>
        </w:tblPrEx>
        <w:trPr>
          <w:trHeight w:val="3929" w:hRule="atLeast"/>
          <w:jc w:val="center"/>
        </w:trPr>
        <w:tc>
          <w:tcPr>
            <w:tcW w:w="477"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szCs w:val="21"/>
              </w:rPr>
            </w:pPr>
          </w:p>
        </w:tc>
        <w:tc>
          <w:tcPr>
            <w:tcW w:w="3004" w:type="dxa"/>
            <w:tcBorders>
              <w:top w:val="single" w:color="auto" w:sz="4" w:space="0"/>
              <w:left w:val="nil"/>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1.环境卫生、绿化养护管理；</w:t>
            </w:r>
          </w:p>
          <w:p>
            <w:pPr>
              <w:tabs>
                <w:tab w:val="left" w:pos="312"/>
              </w:tabs>
              <w:snapToGrid w:val="0"/>
              <w:rPr>
                <w:rFonts w:ascii="宋体" w:hAnsi="宋体"/>
                <w:szCs w:val="21"/>
              </w:rPr>
            </w:pPr>
            <w:r>
              <w:rPr>
                <w:rFonts w:hint="eastAsia" w:ascii="宋体" w:hAnsi="宋体"/>
                <w:szCs w:val="21"/>
              </w:rPr>
              <w:t>2.所有室内外区域保洁工作；</w:t>
            </w:r>
          </w:p>
          <w:p>
            <w:pPr>
              <w:snapToGrid w:val="0"/>
              <w:rPr>
                <w:rFonts w:ascii="宋体" w:hAnsi="宋体"/>
                <w:szCs w:val="21"/>
              </w:rPr>
            </w:pPr>
            <w:r>
              <w:rPr>
                <w:rFonts w:hint="eastAsia" w:ascii="宋体" w:hAnsi="宋体"/>
                <w:szCs w:val="21"/>
              </w:rPr>
              <w:t>3.所有设施、家具、标识标牌、宣传牌等卫生保洁工作；</w:t>
            </w:r>
          </w:p>
          <w:p>
            <w:pPr>
              <w:snapToGrid w:val="0"/>
              <w:rPr>
                <w:rFonts w:ascii="宋体" w:hAnsi="宋体"/>
                <w:szCs w:val="21"/>
              </w:rPr>
            </w:pP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w:t>
            </w:r>
            <w:r>
              <w:rPr>
                <w:rFonts w:hint="eastAsia" w:ascii="宋体" w:hAnsi="宋体" w:cs="宋体"/>
                <w:color w:val="000000"/>
                <w:szCs w:val="21"/>
              </w:rPr>
              <w:t>管理区域干净清洁。</w:t>
            </w:r>
            <w:r>
              <w:rPr>
                <w:rFonts w:hint="eastAsia" w:ascii="宋体" w:hAnsi="宋体"/>
                <w:szCs w:val="21"/>
              </w:rPr>
              <w:t>地面无果皮、纸屑、</w:t>
            </w:r>
            <w:r>
              <w:rPr>
                <w:rFonts w:hint="eastAsia" w:ascii="宋体" w:hAnsi="宋体" w:cs="宋体"/>
                <w:color w:val="000000"/>
                <w:szCs w:val="21"/>
              </w:rPr>
              <w:t>烟蒂</w:t>
            </w:r>
            <w:r>
              <w:rPr>
                <w:rFonts w:hint="eastAsia" w:ascii="宋体" w:hAnsi="宋体"/>
                <w:szCs w:val="21"/>
              </w:rPr>
              <w:t>，无污渍、垃圾</w:t>
            </w:r>
            <w:r>
              <w:rPr>
                <w:rFonts w:hint="eastAsia" w:ascii="宋体" w:hAnsi="宋体" w:cs="宋体"/>
                <w:color w:val="000000"/>
                <w:szCs w:val="21"/>
              </w:rPr>
              <w:t>杂物，保持光洁、明亮；楼梯、电梯无尘渍、无纸屑、无痰渍，电梯轿厢保持亮丽光泽；垃圾筒干净、光洁、无污渍，及时清理；指示牌、悬挂牌无尘、无蜘蛛网，石材按养护要求最少每月养护一次；</w:t>
            </w:r>
          </w:p>
          <w:p>
            <w:pPr>
              <w:snapToGrid w:val="0"/>
              <w:rPr>
                <w:rFonts w:ascii="宋体" w:hAnsi="宋体"/>
                <w:szCs w:val="21"/>
              </w:rPr>
            </w:pPr>
            <w:r>
              <w:rPr>
                <w:rFonts w:hint="eastAsia" w:ascii="宋体" w:hAnsi="宋体"/>
                <w:szCs w:val="21"/>
              </w:rPr>
              <w:t>2.大楼内外观、门窗完好、整洁；玻璃幕墙清洁明亮、无破损；无乱贴、乱涂、乱画和乱悬挂现象，无违规张贴、摆放各类广告、宣传类物件，外墙每年最少清洗一次；</w:t>
            </w:r>
          </w:p>
          <w:p>
            <w:pPr>
              <w:snapToGrid w:val="0"/>
              <w:rPr>
                <w:rFonts w:ascii="宋体" w:hAnsi="宋体"/>
                <w:szCs w:val="21"/>
              </w:rPr>
            </w:pPr>
            <w:r>
              <w:rPr>
                <w:rFonts w:hint="eastAsia" w:ascii="宋体" w:hAnsi="宋体"/>
                <w:szCs w:val="21"/>
              </w:rPr>
              <w:t>3.公共卫生间</w:t>
            </w:r>
            <w:r>
              <w:rPr>
                <w:rFonts w:hint="eastAsia" w:ascii="宋体" w:hAnsi="宋体" w:cs="宋体"/>
                <w:color w:val="000000"/>
                <w:szCs w:val="21"/>
              </w:rPr>
              <w:t>无尘、无污渍、无纸屑、无水渍、瓷砖光亮洁净，</w:t>
            </w:r>
            <w:r>
              <w:rPr>
                <w:rFonts w:hint="eastAsia" w:ascii="宋体" w:hAnsi="宋体"/>
                <w:szCs w:val="21"/>
              </w:rPr>
              <w:t>空气清新无异味，</w:t>
            </w:r>
            <w:r>
              <w:rPr>
                <w:rFonts w:hint="eastAsia" w:ascii="宋体" w:hAnsi="宋体" w:cs="宋体"/>
                <w:color w:val="000000"/>
                <w:szCs w:val="21"/>
              </w:rPr>
              <w:t>设施完好、无渍、无垢，下水、</w:t>
            </w:r>
            <w:r>
              <w:rPr>
                <w:rFonts w:hint="eastAsia" w:ascii="宋体" w:hAnsi="宋体"/>
                <w:szCs w:val="21"/>
              </w:rPr>
              <w:t>排污管道保持畅通，集污井及时清理；</w:t>
            </w:r>
          </w:p>
          <w:p>
            <w:pPr>
              <w:snapToGrid w:val="0"/>
              <w:rPr>
                <w:rFonts w:ascii="宋体" w:hAnsi="宋体"/>
                <w:szCs w:val="21"/>
              </w:rPr>
            </w:pPr>
            <w:r>
              <w:rPr>
                <w:rFonts w:hint="eastAsia" w:ascii="宋体" w:hAnsi="宋体"/>
                <w:szCs w:val="21"/>
              </w:rPr>
              <w:t>4.按要求做好除“四害”工作，垃圾房保持干净并及时清运，无成蝇飞行及蝇虫孳生，定期进行卫生消毒灭杀；</w:t>
            </w:r>
          </w:p>
          <w:p>
            <w:pPr>
              <w:snapToGrid w:val="0"/>
              <w:rPr>
                <w:rFonts w:ascii="宋体" w:hAnsi="宋体"/>
                <w:szCs w:val="21"/>
              </w:rPr>
            </w:pPr>
            <w:r>
              <w:rPr>
                <w:rFonts w:hint="eastAsia" w:ascii="宋体" w:hAnsi="宋体"/>
                <w:szCs w:val="21"/>
              </w:rPr>
              <w:t>5.绿化花草树木及时修剪，保持整齐美观，无基本病虫害，无折损现象，绿地无杂物，保持干净、卫生。</w:t>
            </w:r>
          </w:p>
        </w:tc>
      </w:tr>
      <w:tr>
        <w:tblPrEx>
          <w:tblLayout w:type="fixed"/>
          <w:tblCellMar>
            <w:top w:w="0" w:type="dxa"/>
            <w:left w:w="108" w:type="dxa"/>
            <w:bottom w:w="0" w:type="dxa"/>
            <w:right w:w="108" w:type="dxa"/>
          </w:tblCellMar>
        </w:tblPrEx>
        <w:trPr>
          <w:trHeight w:val="448" w:hRule="atLeast"/>
          <w:jc w:val="center"/>
        </w:trPr>
        <w:tc>
          <w:tcPr>
            <w:tcW w:w="477" w:type="dxa"/>
            <w:vMerge w:val="restart"/>
            <w:tcBorders>
              <w:top w:val="single" w:color="auto" w:sz="4" w:space="0"/>
              <w:left w:val="single" w:color="auto" w:sz="4" w:space="0"/>
              <w:bottom w:val="nil"/>
              <w:right w:val="single" w:color="auto" w:sz="4" w:space="0"/>
            </w:tcBorders>
            <w:noWrap/>
            <w:vAlign w:val="center"/>
          </w:tcPr>
          <w:p>
            <w:pPr>
              <w:snapToGrid w:val="0"/>
              <w:rPr>
                <w:rFonts w:ascii="微软雅黑" w:hAnsi="微软雅黑" w:eastAsia="微软雅黑" w:cs="宋体"/>
                <w:szCs w:val="21"/>
              </w:rPr>
            </w:pPr>
            <w:r>
              <w:rPr>
                <w:rFonts w:hint="eastAsia" w:ascii="微软雅黑" w:hAnsi="微软雅黑" w:eastAsia="微软雅黑" w:cs="宋体"/>
                <w:szCs w:val="21"/>
              </w:rPr>
              <w:t>四</w:t>
            </w:r>
          </w:p>
        </w:tc>
        <w:tc>
          <w:tcPr>
            <w:tcW w:w="3004" w:type="dxa"/>
            <w:tcBorders>
              <w:top w:val="single" w:color="auto" w:sz="4" w:space="0"/>
              <w:left w:val="nil"/>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设施设备管理</w:t>
            </w: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ind w:firstLine="420" w:firstLineChars="200"/>
              <w:jc w:val="center"/>
              <w:rPr>
                <w:rFonts w:ascii="微软雅黑" w:hAnsi="微软雅黑" w:eastAsia="微软雅黑" w:cs="宋体"/>
                <w:szCs w:val="21"/>
              </w:rPr>
            </w:pPr>
            <w:r>
              <w:rPr>
                <w:rFonts w:hint="eastAsia" w:ascii="微软雅黑" w:hAnsi="微软雅黑" w:eastAsia="微软雅黑" w:cs="宋体"/>
                <w:szCs w:val="21"/>
              </w:rPr>
              <w:t>服务要求</w:t>
            </w:r>
          </w:p>
        </w:tc>
      </w:tr>
      <w:tr>
        <w:tblPrEx>
          <w:tblLayout w:type="fixed"/>
          <w:tblCellMar>
            <w:top w:w="0" w:type="dxa"/>
            <w:left w:w="108" w:type="dxa"/>
            <w:bottom w:w="0" w:type="dxa"/>
            <w:right w:w="108" w:type="dxa"/>
          </w:tblCellMar>
        </w:tblPrEx>
        <w:trPr>
          <w:trHeight w:val="467" w:hRule="atLeast"/>
          <w:jc w:val="center"/>
        </w:trPr>
        <w:tc>
          <w:tcPr>
            <w:tcW w:w="477" w:type="dxa"/>
            <w:vMerge w:val="continue"/>
            <w:tcBorders>
              <w:top w:val="single" w:color="auto" w:sz="4" w:space="0"/>
              <w:left w:val="single" w:color="auto" w:sz="4" w:space="0"/>
              <w:bottom w:val="nil"/>
              <w:right w:val="single" w:color="auto" w:sz="4" w:space="0"/>
            </w:tcBorders>
            <w:vAlign w:val="center"/>
          </w:tcPr>
          <w:p>
            <w:pPr>
              <w:widowControl/>
              <w:jc w:val="left"/>
              <w:rPr>
                <w:rFonts w:ascii="微软雅黑" w:hAnsi="微软雅黑" w:eastAsia="微软雅黑" w:cs="宋体"/>
                <w:szCs w:val="21"/>
              </w:rPr>
            </w:pPr>
          </w:p>
        </w:tc>
        <w:tc>
          <w:tcPr>
            <w:tcW w:w="3004" w:type="dxa"/>
            <w:tcBorders>
              <w:top w:val="nil"/>
              <w:left w:val="nil"/>
              <w:bottom w:val="single" w:color="auto" w:sz="4" w:space="0"/>
              <w:right w:val="single" w:color="auto" w:sz="4" w:space="0"/>
            </w:tcBorders>
            <w:noWrap/>
            <w:vAlign w:val="center"/>
          </w:tcPr>
          <w:p>
            <w:pPr>
              <w:numPr>
                <w:ilvl w:val="0"/>
                <w:numId w:val="1"/>
              </w:numPr>
              <w:snapToGrid w:val="0"/>
              <w:rPr>
                <w:rFonts w:ascii="宋体" w:hAnsi="宋体"/>
                <w:szCs w:val="21"/>
              </w:rPr>
            </w:pPr>
            <w:r>
              <w:rPr>
                <w:rFonts w:hint="eastAsia" w:ascii="宋体" w:hAnsi="宋体"/>
                <w:szCs w:val="21"/>
              </w:rPr>
              <w:t>共用设备管理</w:t>
            </w:r>
          </w:p>
        </w:tc>
        <w:tc>
          <w:tcPr>
            <w:tcW w:w="5648" w:type="dxa"/>
            <w:tcBorders>
              <w:top w:val="nil"/>
              <w:left w:val="single" w:color="auto" w:sz="4" w:space="0"/>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1.制订设备管理制度、设备安全运行、定期巡查等制度，并严格执行；制定设备维修保养工作计划，做好供电系统、弱电系统、消防系统、电梯系统、给排水系统、广告显示屏等的日常维修保养工作；</w:t>
            </w:r>
          </w:p>
          <w:p>
            <w:pPr>
              <w:snapToGrid w:val="0"/>
              <w:rPr>
                <w:rFonts w:ascii="宋体" w:hAnsi="宋体"/>
                <w:szCs w:val="21"/>
              </w:rPr>
            </w:pPr>
            <w:r>
              <w:rPr>
                <w:rFonts w:hint="eastAsia" w:ascii="宋体" w:hAnsi="宋体"/>
                <w:szCs w:val="21"/>
              </w:rPr>
              <w:t>2.设备及机房环境整洁，无杂物、灰尘，无鼠、虫害发生，机房环境符合设备要求；</w:t>
            </w:r>
          </w:p>
          <w:p>
            <w:pPr>
              <w:snapToGrid w:val="0"/>
              <w:rPr>
                <w:rFonts w:ascii="宋体" w:hAnsi="宋体"/>
                <w:szCs w:val="21"/>
              </w:rPr>
            </w:pPr>
            <w:r>
              <w:rPr>
                <w:rFonts w:hint="eastAsia" w:ascii="宋体" w:hAnsi="宋体"/>
                <w:szCs w:val="21"/>
              </w:rPr>
              <w:t>3.保持设备良好，运行正常，无重大管理责任事故；如发生设备设施故障，须及时进行分析、处理和组织应急抢修；</w:t>
            </w:r>
          </w:p>
          <w:p>
            <w:pPr>
              <w:snapToGrid w:val="0"/>
              <w:rPr>
                <w:rFonts w:ascii="宋体" w:hAnsi="宋体"/>
                <w:szCs w:val="21"/>
              </w:rPr>
            </w:pPr>
            <w:r>
              <w:rPr>
                <w:rFonts w:hint="eastAsia" w:ascii="宋体" w:hAnsi="宋体"/>
                <w:szCs w:val="21"/>
              </w:rPr>
              <w:t>4、做好设备安全运行管理工作，建立设备档案。</w:t>
            </w:r>
          </w:p>
        </w:tc>
      </w:tr>
      <w:tr>
        <w:tblPrEx>
          <w:tblLayout w:type="fixed"/>
          <w:tblCellMar>
            <w:top w:w="0" w:type="dxa"/>
            <w:left w:w="108" w:type="dxa"/>
            <w:bottom w:w="0" w:type="dxa"/>
            <w:right w:w="108" w:type="dxa"/>
          </w:tblCellMar>
        </w:tblPrEx>
        <w:trPr>
          <w:trHeight w:val="745" w:hRule="atLeast"/>
          <w:jc w:val="center"/>
        </w:trPr>
        <w:tc>
          <w:tcPr>
            <w:tcW w:w="477" w:type="dxa"/>
            <w:vMerge w:val="continue"/>
            <w:tcBorders>
              <w:top w:val="single" w:color="auto" w:sz="4" w:space="0"/>
              <w:left w:val="single" w:color="auto" w:sz="4" w:space="0"/>
              <w:bottom w:val="nil"/>
              <w:right w:val="single" w:color="auto" w:sz="4" w:space="0"/>
            </w:tcBorders>
            <w:vAlign w:val="center"/>
          </w:tcPr>
          <w:p>
            <w:pPr>
              <w:widowControl/>
              <w:jc w:val="left"/>
              <w:rPr>
                <w:rFonts w:ascii="微软雅黑" w:hAnsi="微软雅黑" w:eastAsia="微软雅黑" w:cs="宋体"/>
                <w:szCs w:val="21"/>
              </w:rPr>
            </w:pPr>
          </w:p>
        </w:tc>
        <w:tc>
          <w:tcPr>
            <w:tcW w:w="3004" w:type="dxa"/>
            <w:tcBorders>
              <w:top w:val="single" w:color="auto" w:sz="4" w:space="0"/>
              <w:left w:val="nil"/>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2.供配电系统</w:t>
            </w:r>
          </w:p>
          <w:p>
            <w:pPr>
              <w:snapToGrid w:val="0"/>
              <w:rPr>
                <w:rFonts w:ascii="宋体" w:hAnsi="宋体"/>
                <w:szCs w:val="21"/>
              </w:rPr>
            </w:pPr>
            <w:r>
              <w:rPr>
                <w:rFonts w:hint="eastAsia" w:ascii="宋体" w:hAnsi="宋体"/>
                <w:szCs w:val="21"/>
              </w:rPr>
              <w:t>（含照明、亮化、暖通）</w:t>
            </w: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1.制订用电管理制度与停电应急处理措施并严格执行，随检查供配电线路及设备，保证枢纽场站内正常供电；</w:t>
            </w:r>
          </w:p>
          <w:p>
            <w:pPr>
              <w:snapToGrid w:val="0"/>
              <w:rPr>
                <w:rFonts w:ascii="宋体" w:hAnsi="宋体"/>
                <w:szCs w:val="21"/>
              </w:rPr>
            </w:pPr>
            <w:r>
              <w:rPr>
                <w:rFonts w:hint="eastAsia" w:ascii="宋体" w:hAnsi="宋体"/>
                <w:szCs w:val="21"/>
              </w:rPr>
              <w:t>2.配电设备完好，配电房辅助器材具全、合格有效；</w:t>
            </w:r>
          </w:p>
          <w:p>
            <w:pPr>
              <w:snapToGrid w:val="0"/>
              <w:rPr>
                <w:rFonts w:ascii="宋体" w:hAnsi="宋体"/>
                <w:szCs w:val="21"/>
              </w:rPr>
            </w:pPr>
            <w:r>
              <w:rPr>
                <w:rFonts w:hint="eastAsia" w:ascii="宋体" w:hAnsi="宋体"/>
                <w:szCs w:val="21"/>
              </w:rPr>
              <w:t>3.照明设施完好无损，保持公共场所灯光通明，室外景观灯按亮化要求保持开启，灯具及线路损坏维修及时；</w:t>
            </w:r>
          </w:p>
          <w:p>
            <w:pPr>
              <w:snapToGrid w:val="0"/>
              <w:rPr>
                <w:rFonts w:ascii="宋体" w:hAnsi="宋体"/>
                <w:szCs w:val="21"/>
              </w:rPr>
            </w:pPr>
            <w:r>
              <w:rPr>
                <w:rFonts w:hint="eastAsia" w:ascii="宋体" w:hAnsi="宋体"/>
                <w:szCs w:val="21"/>
              </w:rPr>
              <w:t>4.暖通设备完好，按照客运场站室内温度控制要求，夏天开启制冷、冬天开启制热空调，为旅客营造舒适的出行环境。</w:t>
            </w:r>
          </w:p>
        </w:tc>
      </w:tr>
      <w:tr>
        <w:tblPrEx>
          <w:tblLayout w:type="fixed"/>
          <w:tblCellMar>
            <w:top w:w="0" w:type="dxa"/>
            <w:left w:w="108" w:type="dxa"/>
            <w:bottom w:w="0" w:type="dxa"/>
            <w:right w:w="108" w:type="dxa"/>
          </w:tblCellMar>
        </w:tblPrEx>
        <w:trPr>
          <w:trHeight w:val="645" w:hRule="atLeast"/>
          <w:jc w:val="center"/>
        </w:trPr>
        <w:tc>
          <w:tcPr>
            <w:tcW w:w="477" w:type="dxa"/>
            <w:vMerge w:val="continue"/>
            <w:tcBorders>
              <w:top w:val="single" w:color="auto" w:sz="4" w:space="0"/>
              <w:left w:val="single" w:color="auto" w:sz="4" w:space="0"/>
              <w:bottom w:val="nil"/>
              <w:right w:val="single" w:color="auto" w:sz="4" w:space="0"/>
            </w:tcBorders>
            <w:vAlign w:val="center"/>
          </w:tcPr>
          <w:p>
            <w:pPr>
              <w:widowControl/>
              <w:jc w:val="left"/>
              <w:rPr>
                <w:rFonts w:ascii="微软雅黑" w:hAnsi="微软雅黑" w:eastAsia="微软雅黑" w:cs="宋体"/>
                <w:szCs w:val="21"/>
              </w:rPr>
            </w:pPr>
          </w:p>
        </w:tc>
        <w:tc>
          <w:tcPr>
            <w:tcW w:w="3004" w:type="dxa"/>
            <w:tcBorders>
              <w:top w:val="nil"/>
              <w:left w:val="nil"/>
              <w:bottom w:val="single" w:color="auto" w:sz="4" w:space="0"/>
              <w:right w:val="single" w:color="auto" w:sz="4" w:space="0"/>
            </w:tcBorders>
            <w:noWrap/>
            <w:vAlign w:val="center"/>
          </w:tcPr>
          <w:p>
            <w:pPr>
              <w:snapToGrid w:val="0"/>
              <w:jc w:val="left"/>
              <w:rPr>
                <w:rFonts w:ascii="微软雅黑" w:hAnsi="微软雅黑" w:eastAsia="微软雅黑" w:cs="宋体"/>
                <w:szCs w:val="21"/>
              </w:rPr>
            </w:pPr>
            <w:r>
              <w:rPr>
                <w:rFonts w:hint="eastAsia" w:ascii="宋体" w:hAnsi="宋体"/>
                <w:szCs w:val="21"/>
              </w:rPr>
              <w:t>3.弱电系统</w:t>
            </w:r>
          </w:p>
        </w:tc>
        <w:tc>
          <w:tcPr>
            <w:tcW w:w="5648" w:type="dxa"/>
            <w:tcBorders>
              <w:top w:val="nil"/>
              <w:left w:val="single" w:color="auto" w:sz="4" w:space="0"/>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1.加强弱电系统管理，确保弱电系统正常工作；</w:t>
            </w:r>
          </w:p>
          <w:p>
            <w:pPr>
              <w:snapToGrid w:val="0"/>
              <w:jc w:val="left"/>
              <w:rPr>
                <w:rFonts w:ascii="宋体" w:hAnsi="宋体"/>
                <w:szCs w:val="21"/>
              </w:rPr>
            </w:pPr>
            <w:r>
              <w:rPr>
                <w:rFonts w:hint="eastAsia" w:ascii="宋体" w:hAnsi="宋体"/>
                <w:szCs w:val="21"/>
              </w:rPr>
              <w:t>2.监控、门禁、警报系统等智能化设施设备运行正常，做好值班巡查记录，资料按规定期限保存；</w:t>
            </w:r>
          </w:p>
          <w:p>
            <w:pPr>
              <w:snapToGrid w:val="0"/>
              <w:jc w:val="left"/>
              <w:rPr>
                <w:rFonts w:ascii="宋体" w:hAnsi="宋体"/>
                <w:szCs w:val="21"/>
              </w:rPr>
            </w:pPr>
            <w:r>
              <w:rPr>
                <w:rFonts w:hint="eastAsia" w:ascii="宋体" w:hAnsi="宋体"/>
                <w:szCs w:val="21"/>
              </w:rPr>
              <w:t>3.监控画面不同时出现2个以上无图像或失真现象。</w:t>
            </w:r>
          </w:p>
        </w:tc>
      </w:tr>
      <w:tr>
        <w:tblPrEx>
          <w:tblLayout w:type="fixed"/>
          <w:tblCellMar>
            <w:top w:w="0" w:type="dxa"/>
            <w:left w:w="108" w:type="dxa"/>
            <w:bottom w:w="0" w:type="dxa"/>
            <w:right w:w="108" w:type="dxa"/>
          </w:tblCellMar>
        </w:tblPrEx>
        <w:trPr>
          <w:trHeight w:val="335" w:hRule="atLeast"/>
          <w:jc w:val="center"/>
        </w:trPr>
        <w:tc>
          <w:tcPr>
            <w:tcW w:w="477" w:type="dxa"/>
            <w:vMerge w:val="continue"/>
            <w:tcBorders>
              <w:top w:val="single" w:color="auto" w:sz="4" w:space="0"/>
              <w:left w:val="single" w:color="auto" w:sz="4" w:space="0"/>
              <w:bottom w:val="nil"/>
              <w:right w:val="single" w:color="auto" w:sz="4" w:space="0"/>
            </w:tcBorders>
            <w:vAlign w:val="center"/>
          </w:tcPr>
          <w:p>
            <w:pPr>
              <w:widowControl/>
              <w:jc w:val="left"/>
              <w:rPr>
                <w:rFonts w:ascii="微软雅黑" w:hAnsi="微软雅黑" w:eastAsia="微软雅黑" w:cs="宋体"/>
                <w:szCs w:val="21"/>
              </w:rPr>
            </w:pPr>
          </w:p>
        </w:tc>
        <w:tc>
          <w:tcPr>
            <w:tcW w:w="3004" w:type="dxa"/>
            <w:tcBorders>
              <w:top w:val="nil"/>
              <w:left w:val="nil"/>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4.消防系统</w:t>
            </w:r>
          </w:p>
        </w:tc>
        <w:tc>
          <w:tcPr>
            <w:tcW w:w="5648" w:type="dxa"/>
            <w:tcBorders>
              <w:top w:val="nil"/>
              <w:left w:val="single" w:color="auto" w:sz="4" w:space="0"/>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1.消防控制中心24小时值班，消防系统设施设备完好无损；</w:t>
            </w:r>
          </w:p>
          <w:p>
            <w:pPr>
              <w:snapToGrid w:val="0"/>
              <w:jc w:val="left"/>
              <w:rPr>
                <w:rFonts w:ascii="宋体" w:hAnsi="宋体"/>
                <w:szCs w:val="21"/>
              </w:rPr>
            </w:pPr>
            <w:r>
              <w:rPr>
                <w:rFonts w:hint="eastAsia" w:ascii="宋体" w:hAnsi="宋体"/>
                <w:szCs w:val="21"/>
              </w:rPr>
              <w:t>2.消防管理人员掌握消防设施设备的使用方法并能及时处理各种问题；</w:t>
            </w:r>
          </w:p>
          <w:p>
            <w:pPr>
              <w:snapToGrid w:val="0"/>
              <w:jc w:val="left"/>
              <w:rPr>
                <w:rFonts w:ascii="宋体" w:hAnsi="宋体"/>
                <w:szCs w:val="21"/>
              </w:rPr>
            </w:pPr>
            <w:r>
              <w:rPr>
                <w:rFonts w:hint="eastAsia" w:ascii="宋体" w:hAnsi="宋体"/>
                <w:szCs w:val="21"/>
              </w:rPr>
              <w:t>3.消火栓、干粉灭火器完好、有效率100﹪；</w:t>
            </w:r>
          </w:p>
          <w:p>
            <w:pPr>
              <w:snapToGrid w:val="0"/>
              <w:jc w:val="left"/>
              <w:rPr>
                <w:rFonts w:ascii="宋体" w:hAnsi="宋体"/>
                <w:szCs w:val="21"/>
              </w:rPr>
            </w:pPr>
            <w:r>
              <w:rPr>
                <w:rFonts w:hint="eastAsia" w:ascii="宋体" w:hAnsi="宋体"/>
                <w:szCs w:val="21"/>
              </w:rPr>
              <w:t>4.无火灾安全隐患，每年举办一次消防演习。</w:t>
            </w:r>
          </w:p>
        </w:tc>
      </w:tr>
      <w:tr>
        <w:tblPrEx>
          <w:tblLayout w:type="fixed"/>
          <w:tblCellMar>
            <w:top w:w="0" w:type="dxa"/>
            <w:left w:w="108" w:type="dxa"/>
            <w:bottom w:w="0" w:type="dxa"/>
            <w:right w:w="108" w:type="dxa"/>
          </w:tblCellMar>
        </w:tblPrEx>
        <w:trPr>
          <w:trHeight w:val="339" w:hRule="atLeast"/>
          <w:jc w:val="center"/>
        </w:trPr>
        <w:tc>
          <w:tcPr>
            <w:tcW w:w="477" w:type="dxa"/>
            <w:vMerge w:val="continue"/>
            <w:tcBorders>
              <w:top w:val="single" w:color="auto" w:sz="4" w:space="0"/>
              <w:left w:val="single" w:color="auto" w:sz="4" w:space="0"/>
              <w:bottom w:val="nil"/>
              <w:right w:val="single" w:color="auto" w:sz="4" w:space="0"/>
            </w:tcBorders>
            <w:vAlign w:val="center"/>
          </w:tcPr>
          <w:p>
            <w:pPr>
              <w:widowControl/>
              <w:jc w:val="left"/>
              <w:rPr>
                <w:rFonts w:ascii="微软雅黑" w:hAnsi="微软雅黑" w:eastAsia="微软雅黑" w:cs="宋体"/>
                <w:szCs w:val="21"/>
              </w:rPr>
            </w:pPr>
          </w:p>
        </w:tc>
        <w:tc>
          <w:tcPr>
            <w:tcW w:w="3004" w:type="dxa"/>
            <w:tcBorders>
              <w:top w:val="single" w:color="auto" w:sz="4" w:space="0"/>
              <w:left w:val="nil"/>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5.电梯系统</w:t>
            </w: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1.电梯准用证、年检合格证、维修保养合同完备有效；</w:t>
            </w:r>
          </w:p>
          <w:p>
            <w:pPr>
              <w:snapToGrid w:val="0"/>
              <w:jc w:val="left"/>
              <w:rPr>
                <w:rFonts w:ascii="宋体" w:hAnsi="宋体"/>
                <w:szCs w:val="21"/>
              </w:rPr>
            </w:pPr>
            <w:r>
              <w:rPr>
                <w:rFonts w:hint="eastAsia" w:ascii="宋体" w:hAnsi="宋体"/>
                <w:szCs w:val="21"/>
              </w:rPr>
              <w:t>2.制定电梯安全运行管理制度和应急处置措施，保持电梯正常运行，旅客出站换乘电梯不得擅自关停；</w:t>
            </w:r>
          </w:p>
          <w:p>
            <w:pPr>
              <w:snapToGrid w:val="0"/>
              <w:jc w:val="left"/>
              <w:rPr>
                <w:rFonts w:ascii="宋体" w:hAnsi="宋体"/>
                <w:szCs w:val="21"/>
              </w:rPr>
            </w:pPr>
            <w:r>
              <w:rPr>
                <w:rFonts w:hint="eastAsia" w:ascii="宋体" w:hAnsi="宋体"/>
                <w:szCs w:val="21"/>
              </w:rPr>
              <w:t>3.电梯安全设施齐全，通风、照明及附属设施完好，做好日常维保工作，如出现故障须及时排除；</w:t>
            </w:r>
          </w:p>
          <w:p>
            <w:pPr>
              <w:snapToGrid w:val="0"/>
              <w:jc w:val="left"/>
              <w:rPr>
                <w:rFonts w:ascii="宋体" w:hAnsi="宋体"/>
                <w:szCs w:val="21"/>
              </w:rPr>
            </w:pPr>
            <w:r>
              <w:rPr>
                <w:rFonts w:hint="eastAsia" w:ascii="宋体" w:hAnsi="宋体"/>
                <w:szCs w:val="21"/>
              </w:rPr>
              <w:t>3.轿厢风口无尘、井道基坑无积水、机房设备无漏油、地面清洁无灰尘。</w:t>
            </w:r>
          </w:p>
        </w:tc>
      </w:tr>
      <w:tr>
        <w:tblPrEx>
          <w:tblLayout w:type="fixed"/>
          <w:tblCellMar>
            <w:top w:w="0" w:type="dxa"/>
            <w:left w:w="108" w:type="dxa"/>
            <w:bottom w:w="0" w:type="dxa"/>
            <w:right w:w="108" w:type="dxa"/>
          </w:tblCellMar>
        </w:tblPrEx>
        <w:trPr>
          <w:trHeight w:val="387" w:hRule="atLeast"/>
          <w:jc w:val="center"/>
        </w:trPr>
        <w:tc>
          <w:tcPr>
            <w:tcW w:w="477" w:type="dxa"/>
            <w:vMerge w:val="continue"/>
            <w:tcBorders>
              <w:top w:val="single" w:color="auto" w:sz="4" w:space="0"/>
              <w:left w:val="single" w:color="auto" w:sz="4" w:space="0"/>
              <w:bottom w:val="nil"/>
              <w:right w:val="single" w:color="auto" w:sz="4" w:space="0"/>
            </w:tcBorders>
            <w:vAlign w:val="center"/>
          </w:tcPr>
          <w:p>
            <w:pPr>
              <w:widowControl/>
              <w:jc w:val="left"/>
              <w:rPr>
                <w:rFonts w:ascii="微软雅黑" w:hAnsi="微软雅黑" w:eastAsia="微软雅黑" w:cs="宋体"/>
                <w:szCs w:val="21"/>
              </w:rPr>
            </w:pPr>
          </w:p>
        </w:tc>
        <w:tc>
          <w:tcPr>
            <w:tcW w:w="3004" w:type="dxa"/>
            <w:tcBorders>
              <w:top w:val="single" w:color="auto" w:sz="4" w:space="0"/>
              <w:left w:val="nil"/>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6.给排水系统</w:t>
            </w:r>
          </w:p>
        </w:tc>
        <w:tc>
          <w:tcPr>
            <w:tcW w:w="5648" w:type="dxa"/>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1.制定给排水管理制度和事故应急处理方案；</w:t>
            </w:r>
          </w:p>
          <w:p>
            <w:pPr>
              <w:snapToGrid w:val="0"/>
              <w:jc w:val="left"/>
              <w:rPr>
                <w:rFonts w:ascii="宋体" w:hAnsi="宋体"/>
                <w:szCs w:val="21"/>
              </w:rPr>
            </w:pPr>
            <w:r>
              <w:rPr>
                <w:rFonts w:hint="eastAsia" w:ascii="宋体" w:hAnsi="宋体"/>
                <w:szCs w:val="21"/>
              </w:rPr>
              <w:t>2.保持给排水设备、阀门、管道工作正常，无跑冒滴漏堵，阀门启闭灵活；</w:t>
            </w:r>
          </w:p>
          <w:p>
            <w:pPr>
              <w:snapToGrid w:val="0"/>
              <w:jc w:val="left"/>
              <w:rPr>
                <w:rFonts w:ascii="宋体" w:hAnsi="宋体"/>
                <w:szCs w:val="21"/>
              </w:rPr>
            </w:pPr>
            <w:r>
              <w:rPr>
                <w:rFonts w:hint="eastAsia" w:ascii="宋体" w:hAnsi="宋体"/>
                <w:szCs w:val="21"/>
              </w:rPr>
              <w:t>3.保持排水系统通畅，汛期道路无积水，地下室、车库、设备房无积水、无浸泡发生；</w:t>
            </w:r>
          </w:p>
          <w:p>
            <w:pPr>
              <w:snapToGrid w:val="0"/>
              <w:jc w:val="left"/>
              <w:rPr>
                <w:rFonts w:ascii="宋体" w:hAnsi="宋体"/>
                <w:szCs w:val="21"/>
              </w:rPr>
            </w:pPr>
            <w:r>
              <w:rPr>
                <w:rFonts w:hint="eastAsia" w:ascii="宋体" w:hAnsi="宋体"/>
                <w:szCs w:val="21"/>
              </w:rPr>
              <w:t>4.集水井、集污井定期检查、及时清淤，并有详细记录；</w:t>
            </w:r>
          </w:p>
          <w:p>
            <w:pPr>
              <w:snapToGrid w:val="0"/>
              <w:jc w:val="left"/>
              <w:rPr>
                <w:rFonts w:ascii="宋体" w:hAnsi="宋体"/>
                <w:szCs w:val="21"/>
              </w:rPr>
            </w:pPr>
            <w:r>
              <w:rPr>
                <w:rFonts w:hint="eastAsia" w:ascii="宋体" w:hAnsi="宋体"/>
                <w:szCs w:val="21"/>
              </w:rPr>
              <w:t>5.遇有事故，维修人员在规定时间内及时进行抢修，杜绝大面积跑水、泛水、长时间停水现象。</w:t>
            </w:r>
          </w:p>
        </w:tc>
      </w:tr>
      <w:tr>
        <w:tblPrEx>
          <w:tblLayout w:type="fixed"/>
          <w:tblCellMar>
            <w:top w:w="0" w:type="dxa"/>
            <w:left w:w="108" w:type="dxa"/>
            <w:bottom w:w="0" w:type="dxa"/>
            <w:right w:w="108" w:type="dxa"/>
          </w:tblCellMar>
        </w:tblPrEx>
        <w:trPr>
          <w:trHeight w:val="353" w:hRule="atLeast"/>
          <w:jc w:val="center"/>
        </w:trPr>
        <w:tc>
          <w:tcPr>
            <w:tcW w:w="477" w:type="dxa"/>
            <w:tcBorders>
              <w:top w:val="nil"/>
              <w:left w:val="single" w:color="auto" w:sz="4" w:space="0"/>
              <w:bottom w:val="single" w:color="auto" w:sz="4" w:space="0"/>
              <w:right w:val="single" w:color="auto" w:sz="4" w:space="0"/>
            </w:tcBorders>
            <w:noWrap/>
            <w:vAlign w:val="center"/>
          </w:tcPr>
          <w:p>
            <w:pPr>
              <w:snapToGrid w:val="0"/>
              <w:ind w:firstLine="420" w:firstLineChars="200"/>
              <w:rPr>
                <w:rFonts w:ascii="微软雅黑" w:hAnsi="微软雅黑" w:eastAsia="微软雅黑" w:cs="宋体"/>
                <w:szCs w:val="21"/>
              </w:rPr>
            </w:pPr>
          </w:p>
        </w:tc>
        <w:tc>
          <w:tcPr>
            <w:tcW w:w="3004" w:type="dxa"/>
            <w:tcBorders>
              <w:top w:val="nil"/>
              <w:left w:val="nil"/>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7.停车收费系统</w:t>
            </w:r>
          </w:p>
          <w:p>
            <w:pPr>
              <w:snapToGrid w:val="0"/>
              <w:jc w:val="left"/>
              <w:rPr>
                <w:rFonts w:ascii="宋体" w:hAnsi="宋体"/>
                <w:szCs w:val="21"/>
              </w:rPr>
            </w:pPr>
            <w:r>
              <w:rPr>
                <w:rFonts w:hint="eastAsia" w:ascii="宋体" w:hAnsi="宋体"/>
                <w:szCs w:val="21"/>
              </w:rPr>
              <w:t>（含充电桩、机械车库）</w:t>
            </w:r>
          </w:p>
        </w:tc>
        <w:tc>
          <w:tcPr>
            <w:tcW w:w="5648" w:type="dxa"/>
            <w:tcBorders>
              <w:top w:val="nil"/>
              <w:left w:val="single" w:color="auto" w:sz="4" w:space="0"/>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1.加强停车收费系统管理，按衢州市物价局批准的现行停车收费标准收费；</w:t>
            </w:r>
          </w:p>
          <w:p>
            <w:pPr>
              <w:snapToGrid w:val="0"/>
              <w:jc w:val="left"/>
              <w:rPr>
                <w:rFonts w:ascii="宋体" w:hAnsi="宋体"/>
                <w:szCs w:val="21"/>
              </w:rPr>
            </w:pPr>
            <w:r>
              <w:rPr>
                <w:rFonts w:hint="eastAsia" w:ascii="宋体" w:hAnsi="宋体"/>
                <w:szCs w:val="21"/>
              </w:rPr>
              <w:t>2.制订收费设施、充电桩、机械车库维修维保计划，开展日常维护，保持设施设备安全正常运行。</w:t>
            </w:r>
          </w:p>
        </w:tc>
      </w:tr>
      <w:tr>
        <w:tblPrEx>
          <w:tblLayout w:type="fixed"/>
          <w:tblCellMar>
            <w:top w:w="0" w:type="dxa"/>
            <w:left w:w="108" w:type="dxa"/>
            <w:bottom w:w="0" w:type="dxa"/>
            <w:right w:w="108" w:type="dxa"/>
          </w:tblCellMar>
        </w:tblPrEx>
        <w:trPr>
          <w:trHeight w:val="327" w:hRule="atLeast"/>
          <w:jc w:val="center"/>
        </w:trPr>
        <w:tc>
          <w:tcPr>
            <w:tcW w:w="477"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五</w:t>
            </w:r>
          </w:p>
        </w:tc>
        <w:tc>
          <w:tcPr>
            <w:tcW w:w="3004" w:type="dxa"/>
            <w:tcBorders>
              <w:top w:val="nil"/>
              <w:left w:val="nil"/>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旅客服务</w:t>
            </w:r>
          </w:p>
        </w:tc>
        <w:tc>
          <w:tcPr>
            <w:tcW w:w="5648" w:type="dxa"/>
            <w:tcBorders>
              <w:top w:val="nil"/>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服务要求</w:t>
            </w:r>
          </w:p>
        </w:tc>
      </w:tr>
      <w:tr>
        <w:tblPrEx>
          <w:tblLayout w:type="fixed"/>
          <w:tblCellMar>
            <w:top w:w="0" w:type="dxa"/>
            <w:left w:w="108" w:type="dxa"/>
            <w:bottom w:w="0" w:type="dxa"/>
            <w:right w:w="108" w:type="dxa"/>
          </w:tblCellMar>
        </w:tblPrEx>
        <w:trPr>
          <w:trHeight w:val="459"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szCs w:val="21"/>
              </w:rPr>
            </w:pPr>
          </w:p>
        </w:tc>
        <w:tc>
          <w:tcPr>
            <w:tcW w:w="3004" w:type="dxa"/>
            <w:tcBorders>
              <w:top w:val="nil"/>
              <w:left w:val="nil"/>
              <w:bottom w:val="single" w:color="auto" w:sz="4" w:space="0"/>
              <w:right w:val="single" w:color="auto" w:sz="4" w:space="0"/>
            </w:tcBorders>
            <w:noWrap/>
            <w:vAlign w:val="center"/>
          </w:tcPr>
          <w:p>
            <w:pPr>
              <w:tabs>
                <w:tab w:val="left" w:pos="312"/>
              </w:tabs>
              <w:snapToGrid w:val="0"/>
              <w:jc w:val="left"/>
              <w:rPr>
                <w:rFonts w:ascii="宋体" w:hAnsi="宋体"/>
                <w:szCs w:val="21"/>
              </w:rPr>
            </w:pPr>
            <w:r>
              <w:rPr>
                <w:rFonts w:hint="eastAsia" w:ascii="宋体" w:hAnsi="宋体"/>
                <w:szCs w:val="21"/>
              </w:rPr>
              <w:t>1.日常运行过程中旅客咨询、投诉处理、服务及接待工作；</w:t>
            </w:r>
          </w:p>
          <w:p>
            <w:pPr>
              <w:tabs>
                <w:tab w:val="left" w:pos="312"/>
              </w:tabs>
              <w:snapToGrid w:val="0"/>
              <w:jc w:val="left"/>
              <w:rPr>
                <w:rFonts w:ascii="微软雅黑" w:hAnsi="微软雅黑" w:eastAsia="微软雅黑" w:cs="宋体"/>
                <w:szCs w:val="21"/>
              </w:rPr>
            </w:pPr>
            <w:r>
              <w:rPr>
                <w:rFonts w:hint="eastAsia" w:ascii="宋体" w:hAnsi="宋体"/>
                <w:szCs w:val="21"/>
              </w:rPr>
              <w:t>2.问询服务、导乘服务、特殊服务及应急服务；</w:t>
            </w:r>
          </w:p>
        </w:tc>
        <w:tc>
          <w:tcPr>
            <w:tcW w:w="5648" w:type="dxa"/>
            <w:tcBorders>
              <w:top w:val="nil"/>
              <w:left w:val="single" w:color="auto" w:sz="4" w:space="0"/>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1.做好旅客咨询和引导、便民服务(提供急救用品等)、突发事件处理、社会公益活动的配合；</w:t>
            </w:r>
          </w:p>
          <w:p>
            <w:pPr>
              <w:snapToGrid w:val="0"/>
              <w:jc w:val="left"/>
              <w:rPr>
                <w:rFonts w:ascii="宋体" w:hAnsi="宋体"/>
                <w:szCs w:val="21"/>
              </w:rPr>
            </w:pPr>
            <w:r>
              <w:rPr>
                <w:rFonts w:hint="eastAsia" w:ascii="宋体" w:hAnsi="宋体"/>
                <w:szCs w:val="21"/>
              </w:rPr>
              <w:t>2.做好运营时段客服人员值班工作，设置服务电话，提供现场和远程问询服务，为旅客提供导乘服务；</w:t>
            </w:r>
          </w:p>
          <w:p>
            <w:pPr>
              <w:snapToGrid w:val="0"/>
              <w:jc w:val="left"/>
              <w:rPr>
                <w:rFonts w:ascii="宋体" w:hAnsi="宋体"/>
                <w:szCs w:val="21"/>
              </w:rPr>
            </w:pPr>
            <w:r>
              <w:rPr>
                <w:rFonts w:hint="eastAsia" w:ascii="宋体" w:hAnsi="宋体"/>
                <w:szCs w:val="21"/>
              </w:rPr>
              <w:t>3.场站出入口等醒目处应公示枢纽内全部相关交通工具的首末车时间、间隔时间和运营时间等信息；</w:t>
            </w:r>
          </w:p>
          <w:p>
            <w:pPr>
              <w:snapToGrid w:val="0"/>
              <w:jc w:val="left"/>
              <w:rPr>
                <w:rFonts w:ascii="宋体" w:hAnsi="宋体"/>
                <w:szCs w:val="21"/>
              </w:rPr>
            </w:pPr>
            <w:r>
              <w:rPr>
                <w:rFonts w:hint="eastAsia" w:ascii="宋体" w:hAnsi="宋体"/>
                <w:szCs w:val="21"/>
              </w:rPr>
              <w:t>4.为旅客出行提供方便，对特殊乘客（如老人，残疾人等）要提供必要的特殊服务；</w:t>
            </w:r>
          </w:p>
          <w:p>
            <w:pPr>
              <w:snapToGrid w:val="0"/>
              <w:jc w:val="left"/>
              <w:rPr>
                <w:rFonts w:ascii="微软雅黑" w:hAnsi="微软雅黑" w:eastAsia="微软雅黑" w:cs="宋体"/>
                <w:szCs w:val="21"/>
              </w:rPr>
            </w:pPr>
            <w:r>
              <w:rPr>
                <w:rFonts w:hint="eastAsia" w:ascii="宋体" w:hAnsi="宋体"/>
                <w:szCs w:val="21"/>
              </w:rPr>
              <w:t>5.做好客运枢纽文明创建和窗口文化建设工作，树立窗口良好形象。</w:t>
            </w:r>
          </w:p>
        </w:tc>
      </w:tr>
      <w:tr>
        <w:tblPrEx>
          <w:tblLayout w:type="fixed"/>
          <w:tblCellMar>
            <w:top w:w="0" w:type="dxa"/>
            <w:left w:w="108" w:type="dxa"/>
            <w:bottom w:w="0" w:type="dxa"/>
            <w:right w:w="108" w:type="dxa"/>
          </w:tblCellMar>
        </w:tblPrEx>
        <w:trPr>
          <w:trHeight w:val="414" w:hRule="atLeast"/>
          <w:jc w:val="center"/>
        </w:trPr>
        <w:tc>
          <w:tcPr>
            <w:tcW w:w="477" w:type="dxa"/>
            <w:vMerge w:val="restart"/>
            <w:tcBorders>
              <w:top w:val="single" w:color="auto" w:sz="4" w:space="0"/>
              <w:left w:val="single" w:color="auto" w:sz="4" w:space="0"/>
              <w:bottom w:val="nil"/>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六</w:t>
            </w:r>
          </w:p>
        </w:tc>
        <w:tc>
          <w:tcPr>
            <w:tcW w:w="3004" w:type="dxa"/>
            <w:tcBorders>
              <w:top w:val="single" w:color="auto" w:sz="4" w:space="0"/>
              <w:left w:val="nil"/>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商业运营</w:t>
            </w:r>
          </w:p>
        </w:tc>
        <w:tc>
          <w:tcPr>
            <w:tcW w:w="5648" w:type="dxa"/>
            <w:tcBorders>
              <w:top w:val="nil"/>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服务要求</w:t>
            </w:r>
          </w:p>
        </w:tc>
      </w:tr>
      <w:tr>
        <w:tblPrEx>
          <w:tblLayout w:type="fixed"/>
          <w:tblCellMar>
            <w:top w:w="0" w:type="dxa"/>
            <w:left w:w="108" w:type="dxa"/>
            <w:bottom w:w="0" w:type="dxa"/>
            <w:right w:w="108" w:type="dxa"/>
          </w:tblCellMar>
        </w:tblPrEx>
        <w:trPr>
          <w:trHeight w:val="459"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szCs w:val="21"/>
              </w:rPr>
            </w:pPr>
          </w:p>
        </w:tc>
        <w:tc>
          <w:tcPr>
            <w:tcW w:w="3004" w:type="dxa"/>
            <w:tcBorders>
              <w:top w:val="nil"/>
              <w:left w:val="nil"/>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1.经营计划的制订和实施；</w:t>
            </w:r>
          </w:p>
          <w:p>
            <w:pPr>
              <w:snapToGrid w:val="0"/>
              <w:jc w:val="left"/>
              <w:rPr>
                <w:rFonts w:ascii="宋体" w:hAnsi="宋体"/>
                <w:szCs w:val="21"/>
              </w:rPr>
            </w:pPr>
            <w:r>
              <w:rPr>
                <w:rFonts w:hint="eastAsia" w:ascii="宋体" w:hAnsi="宋体"/>
                <w:szCs w:val="21"/>
              </w:rPr>
              <w:t>2.商业综合楼、场站商铺、广告位、修车厂等商业地块的招租及日常经营管理；</w:t>
            </w:r>
          </w:p>
        </w:tc>
        <w:tc>
          <w:tcPr>
            <w:tcW w:w="5648" w:type="dxa"/>
            <w:tcBorders>
              <w:top w:val="nil"/>
              <w:left w:val="single" w:color="auto" w:sz="4" w:space="0"/>
              <w:bottom w:val="single" w:color="auto" w:sz="4" w:space="0"/>
              <w:right w:val="single" w:color="auto" w:sz="4" w:space="0"/>
            </w:tcBorders>
            <w:noWrap/>
            <w:vAlign w:val="center"/>
          </w:tcPr>
          <w:p>
            <w:pPr>
              <w:snapToGrid w:val="0"/>
              <w:jc w:val="left"/>
              <w:rPr>
                <w:rFonts w:ascii="宋体" w:hAnsi="宋体"/>
                <w:szCs w:val="21"/>
              </w:rPr>
            </w:pPr>
            <w:r>
              <w:rPr>
                <w:rFonts w:hint="eastAsia" w:ascii="宋体" w:hAnsi="宋体"/>
                <w:szCs w:val="21"/>
              </w:rPr>
              <w:t>1.制订商业招商计划方案，报业主方审核同意后组织实施；</w:t>
            </w:r>
          </w:p>
          <w:p>
            <w:pPr>
              <w:snapToGrid w:val="0"/>
              <w:jc w:val="left"/>
              <w:rPr>
                <w:rFonts w:ascii="宋体" w:hAnsi="宋体"/>
                <w:szCs w:val="21"/>
              </w:rPr>
            </w:pPr>
            <w:r>
              <w:rPr>
                <w:rFonts w:hint="eastAsia" w:ascii="宋体" w:hAnsi="宋体"/>
                <w:szCs w:val="21"/>
              </w:rPr>
              <w:t>2.做好商户日常经营监管工作，以及水、电等费用的收缴和分摊，为商业设施提供增值运营服务。</w:t>
            </w:r>
          </w:p>
          <w:p>
            <w:pPr>
              <w:snapToGrid w:val="0"/>
              <w:jc w:val="left"/>
              <w:rPr>
                <w:rFonts w:ascii="宋体" w:hAnsi="宋体"/>
                <w:szCs w:val="21"/>
              </w:rPr>
            </w:pPr>
          </w:p>
        </w:tc>
      </w:tr>
      <w:tr>
        <w:tblPrEx>
          <w:tblLayout w:type="fixed"/>
          <w:tblCellMar>
            <w:top w:w="0" w:type="dxa"/>
            <w:left w:w="108" w:type="dxa"/>
            <w:bottom w:w="0" w:type="dxa"/>
            <w:right w:w="108" w:type="dxa"/>
          </w:tblCellMar>
        </w:tblPrEx>
        <w:trPr>
          <w:trHeight w:val="416" w:hRule="atLeast"/>
          <w:jc w:val="center"/>
        </w:trPr>
        <w:tc>
          <w:tcPr>
            <w:tcW w:w="477" w:type="dxa"/>
            <w:vMerge w:val="restart"/>
            <w:tcBorders>
              <w:top w:val="single" w:color="auto" w:sz="4" w:space="0"/>
              <w:left w:val="single" w:color="auto" w:sz="4" w:space="0"/>
              <w:bottom w:val="nil"/>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七</w:t>
            </w:r>
          </w:p>
        </w:tc>
        <w:tc>
          <w:tcPr>
            <w:tcW w:w="3004" w:type="dxa"/>
            <w:tcBorders>
              <w:top w:val="single" w:color="auto" w:sz="4" w:space="0"/>
              <w:left w:val="nil"/>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行政后勤管理</w:t>
            </w:r>
          </w:p>
        </w:tc>
        <w:tc>
          <w:tcPr>
            <w:tcW w:w="5648" w:type="dxa"/>
            <w:tcBorders>
              <w:top w:val="nil"/>
              <w:left w:val="single" w:color="auto" w:sz="4" w:space="0"/>
              <w:bottom w:val="single" w:color="auto" w:sz="4" w:space="0"/>
              <w:right w:val="single" w:color="auto" w:sz="4" w:space="0"/>
            </w:tcBorders>
            <w:noWrap/>
            <w:vAlign w:val="center"/>
          </w:tcPr>
          <w:p>
            <w:pPr>
              <w:snapToGrid w:val="0"/>
              <w:jc w:val="center"/>
              <w:rPr>
                <w:rFonts w:ascii="微软雅黑" w:hAnsi="微软雅黑" w:eastAsia="微软雅黑" w:cs="宋体"/>
                <w:szCs w:val="21"/>
              </w:rPr>
            </w:pPr>
            <w:r>
              <w:rPr>
                <w:rFonts w:hint="eastAsia" w:ascii="微软雅黑" w:hAnsi="微软雅黑" w:eastAsia="微软雅黑" w:cs="宋体"/>
                <w:szCs w:val="21"/>
              </w:rPr>
              <w:t>服务要求</w:t>
            </w:r>
          </w:p>
        </w:tc>
      </w:tr>
      <w:tr>
        <w:tblPrEx>
          <w:tblLayout w:type="fixed"/>
          <w:tblCellMar>
            <w:top w:w="0" w:type="dxa"/>
            <w:left w:w="108" w:type="dxa"/>
            <w:bottom w:w="0" w:type="dxa"/>
            <w:right w:w="108" w:type="dxa"/>
          </w:tblCellMar>
        </w:tblPrEx>
        <w:trPr>
          <w:trHeight w:val="3706" w:hRule="atLeast"/>
          <w:jc w:val="center"/>
        </w:trPr>
        <w:tc>
          <w:tcPr>
            <w:tcW w:w="477"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szCs w:val="21"/>
              </w:rPr>
            </w:pPr>
          </w:p>
        </w:tc>
        <w:tc>
          <w:tcPr>
            <w:tcW w:w="3004" w:type="dxa"/>
            <w:tcBorders>
              <w:top w:val="nil"/>
              <w:left w:val="nil"/>
              <w:bottom w:val="single" w:color="auto" w:sz="4" w:space="0"/>
              <w:right w:val="single" w:color="auto" w:sz="4" w:space="0"/>
            </w:tcBorders>
            <w:noWrap/>
            <w:vAlign w:val="center"/>
          </w:tcPr>
          <w:p>
            <w:pPr>
              <w:numPr>
                <w:ilvl w:val="0"/>
                <w:numId w:val="2"/>
              </w:numPr>
              <w:snapToGrid w:val="0"/>
              <w:rPr>
                <w:rFonts w:ascii="宋体" w:hAnsi="宋体"/>
                <w:szCs w:val="21"/>
              </w:rPr>
            </w:pPr>
            <w:r>
              <w:rPr>
                <w:rFonts w:hint="eastAsia" w:ascii="宋体" w:hAnsi="宋体"/>
                <w:szCs w:val="21"/>
              </w:rPr>
              <w:t>日常行政、后勤、人事及员工管理工作；</w:t>
            </w:r>
          </w:p>
          <w:p>
            <w:pPr>
              <w:numPr>
                <w:ilvl w:val="0"/>
                <w:numId w:val="2"/>
              </w:numPr>
              <w:snapToGrid w:val="0"/>
              <w:rPr>
                <w:rFonts w:ascii="微软雅黑" w:hAnsi="微软雅黑" w:eastAsia="微软雅黑" w:cs="宋体"/>
                <w:szCs w:val="21"/>
              </w:rPr>
            </w:pPr>
            <w:r>
              <w:rPr>
                <w:rFonts w:hint="eastAsia" w:ascii="宋体" w:hAnsi="宋体"/>
                <w:szCs w:val="21"/>
              </w:rPr>
              <w:t>严格执行国家有关财务管理制度；</w:t>
            </w:r>
          </w:p>
          <w:p>
            <w:pPr>
              <w:numPr>
                <w:ilvl w:val="0"/>
                <w:numId w:val="2"/>
              </w:numPr>
              <w:snapToGrid w:val="0"/>
              <w:rPr>
                <w:rFonts w:ascii="微软雅黑" w:hAnsi="微软雅黑" w:eastAsia="微软雅黑" w:cs="宋体"/>
                <w:szCs w:val="21"/>
              </w:rPr>
            </w:pPr>
            <w:r>
              <w:rPr>
                <w:rFonts w:hint="eastAsia" w:ascii="宋体" w:hAnsi="宋体"/>
                <w:szCs w:val="21"/>
              </w:rPr>
              <w:t>文化建设和文明创建工作。</w:t>
            </w:r>
          </w:p>
        </w:tc>
        <w:tc>
          <w:tcPr>
            <w:tcW w:w="5648" w:type="dxa"/>
            <w:tcBorders>
              <w:top w:val="nil"/>
              <w:left w:val="single" w:color="auto" w:sz="4" w:space="0"/>
              <w:bottom w:val="single" w:color="auto" w:sz="4" w:space="0"/>
              <w:right w:val="single" w:color="auto" w:sz="4" w:space="0"/>
            </w:tcBorders>
            <w:noWrap/>
            <w:vAlign w:val="center"/>
          </w:tcPr>
          <w:p>
            <w:pPr>
              <w:snapToGrid w:val="0"/>
              <w:rPr>
                <w:rFonts w:ascii="宋体" w:hAnsi="宋体"/>
                <w:szCs w:val="21"/>
              </w:rPr>
            </w:pPr>
            <w:r>
              <w:rPr>
                <w:rFonts w:hint="eastAsia" w:ascii="宋体" w:hAnsi="宋体"/>
                <w:szCs w:val="21"/>
              </w:rPr>
              <w:t>1.加强员工队伍管理，做好枢纽宣传工作及文化建设、文明创建工作；</w:t>
            </w:r>
          </w:p>
          <w:p>
            <w:pPr>
              <w:snapToGrid w:val="0"/>
              <w:rPr>
                <w:rFonts w:ascii="宋体" w:hAnsi="宋体"/>
                <w:szCs w:val="21"/>
              </w:rPr>
            </w:pPr>
            <w:r>
              <w:rPr>
                <w:rFonts w:hint="eastAsia" w:ascii="宋体" w:hAnsi="宋体"/>
                <w:szCs w:val="21"/>
              </w:rPr>
              <w:t>2.做好企业内部行政后勤管理、人事劳动工资、职效考核，及时完成业主方及上级有关部门交办的各种任务；</w:t>
            </w:r>
          </w:p>
          <w:p>
            <w:pPr>
              <w:snapToGrid w:val="0"/>
              <w:rPr>
                <w:rFonts w:ascii="宋体" w:hAnsi="宋体"/>
                <w:szCs w:val="21"/>
              </w:rPr>
            </w:pPr>
            <w:r>
              <w:rPr>
                <w:rFonts w:hint="eastAsia" w:ascii="宋体" w:hAnsi="宋体"/>
                <w:szCs w:val="21"/>
              </w:rPr>
              <w:t>3.工作人员应按规定着装，佩戴明显标志牌上岗；保安保洁人员的招纳需符合采购人控制的年龄，且具有良好形象，服装需经采购人与运营方确认同意。</w:t>
            </w:r>
          </w:p>
          <w:p>
            <w:pPr>
              <w:snapToGrid w:val="0"/>
              <w:rPr>
                <w:rFonts w:ascii="宋体" w:hAnsi="宋体"/>
                <w:szCs w:val="21"/>
              </w:rPr>
            </w:pPr>
            <w:r>
              <w:rPr>
                <w:rFonts w:hint="eastAsia" w:ascii="宋体" w:hAnsi="宋体"/>
                <w:szCs w:val="21"/>
              </w:rPr>
              <w:t>4.服务人员应坚守岗位，严格遵守规章制度，举止文明、动作规范；服务用语表达规范、准确、清晰、文明、礼貌、服务主动。</w:t>
            </w:r>
          </w:p>
          <w:p>
            <w:pPr>
              <w:snapToGrid w:val="0"/>
              <w:rPr>
                <w:rFonts w:ascii="宋体" w:hAnsi="宋体"/>
                <w:szCs w:val="21"/>
              </w:rPr>
            </w:pPr>
            <w:r>
              <w:rPr>
                <w:rFonts w:hint="eastAsia" w:ascii="宋体" w:hAnsi="宋体"/>
                <w:szCs w:val="21"/>
              </w:rPr>
              <w:t>5.安保人员训练有素，言语动作规范，处置问题及时；</w:t>
            </w:r>
          </w:p>
          <w:p>
            <w:pPr>
              <w:snapToGrid w:val="0"/>
              <w:rPr>
                <w:rFonts w:ascii="宋体" w:hAnsi="宋体"/>
                <w:szCs w:val="21"/>
              </w:rPr>
            </w:pPr>
            <w:r>
              <w:rPr>
                <w:rFonts w:hint="eastAsia" w:ascii="宋体" w:hAnsi="宋体"/>
                <w:szCs w:val="21"/>
              </w:rPr>
              <w:t>6.严格执行国家有关财务管理制度，按规定上交各种规费、为员工办理相关保险，自觉接受上级有关部门的审计和业主监督。</w:t>
            </w:r>
          </w:p>
        </w:tc>
      </w:tr>
    </w:tbl>
    <w:p>
      <w:pPr>
        <w:snapToGrid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备注：枢纽是一个整体，运营服务管理是系统性、全方位的，以上基本要求未能全面表达全部工作内容，如有漏项或表述不全的，在实际工作中按规范要求执行，并无条件接受采购人（在招标文件和合同框架内细化）制定的考核办法或考核细则。</w:t>
      </w:r>
    </w:p>
    <w:p>
      <w:pPr>
        <w:spacing w:beforeLines="50" w:afterLines="50" w:line="400" w:lineRule="exact"/>
        <w:ind w:firstLine="420" w:firstLineChars="200"/>
        <w:rPr>
          <w:rFonts w:ascii="微软雅黑" w:hAnsi="微软雅黑" w:eastAsia="微软雅黑"/>
          <w:b/>
          <w:szCs w:val="21"/>
        </w:rPr>
      </w:pPr>
    </w:p>
    <w:p>
      <w:pPr>
        <w:spacing w:beforeLines="50" w:afterLines="50" w:line="400" w:lineRule="exact"/>
        <w:ind w:firstLine="420" w:firstLineChars="200"/>
        <w:rPr>
          <w:rFonts w:ascii="微软雅黑" w:hAnsi="微软雅黑" w:eastAsia="微软雅黑"/>
          <w:b/>
          <w:szCs w:val="21"/>
        </w:rPr>
      </w:pPr>
      <w:r>
        <w:rPr>
          <w:rFonts w:hint="eastAsia" w:ascii="微软雅黑" w:hAnsi="微软雅黑" w:eastAsia="微软雅黑"/>
          <w:b/>
          <w:szCs w:val="21"/>
        </w:rPr>
        <w:t>八、开荒</w:t>
      </w:r>
      <w:r>
        <w:rPr>
          <w:rFonts w:ascii="微软雅黑" w:hAnsi="微软雅黑" w:eastAsia="微软雅黑"/>
          <w:b/>
          <w:szCs w:val="21"/>
        </w:rPr>
        <w:t>保洁</w:t>
      </w:r>
    </w:p>
    <w:tbl>
      <w:tblPr>
        <w:tblStyle w:val="2"/>
        <w:tblW w:w="9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9"/>
        <w:gridCol w:w="7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1271" w:type="dxa"/>
          </w:tcPr>
          <w:p>
            <w:pPr>
              <w:snapToGrid w:val="0"/>
              <w:jc w:val="center"/>
              <w:rPr>
                <w:rFonts w:ascii="微软雅黑" w:hAnsi="微软雅黑" w:eastAsia="微软雅黑"/>
                <w:szCs w:val="21"/>
              </w:rPr>
            </w:pPr>
            <w:r>
              <w:rPr>
                <w:rFonts w:hint="eastAsia" w:ascii="微软雅黑" w:hAnsi="微软雅黑" w:eastAsia="微软雅黑"/>
                <w:szCs w:val="21"/>
              </w:rPr>
              <w:t>开荒</w:t>
            </w:r>
            <w:r>
              <w:rPr>
                <w:rFonts w:ascii="微软雅黑" w:hAnsi="微软雅黑" w:eastAsia="微软雅黑"/>
                <w:szCs w:val="21"/>
              </w:rPr>
              <w:t>保洁</w:t>
            </w:r>
          </w:p>
        </w:tc>
        <w:tc>
          <w:tcPr>
            <w:tcW w:w="7758" w:type="dxa"/>
            <w:gridSpan w:val="2"/>
          </w:tcPr>
          <w:p>
            <w:pPr>
              <w:snapToGrid w:val="0"/>
              <w:jc w:val="center"/>
              <w:rPr>
                <w:rFonts w:ascii="微软雅黑" w:hAnsi="微软雅黑" w:eastAsia="微软雅黑"/>
                <w:szCs w:val="21"/>
              </w:rPr>
            </w:pPr>
            <w:r>
              <w:rPr>
                <w:rFonts w:hint="eastAsia" w:ascii="微软雅黑" w:hAnsi="微软雅黑" w:eastAsia="微软雅黑"/>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1271" w:type="dxa"/>
            <w:vMerge w:val="restart"/>
            <w:vAlign w:val="center"/>
          </w:tcPr>
          <w:p>
            <w:pPr>
              <w:snapToGrid w:val="0"/>
              <w:rPr>
                <w:rFonts w:ascii="宋体" w:hAnsi="宋体"/>
                <w:szCs w:val="21"/>
              </w:rPr>
            </w:pPr>
            <w:r>
              <w:rPr>
                <w:rFonts w:hint="eastAsia" w:ascii="宋体" w:hAnsi="宋体"/>
                <w:szCs w:val="21"/>
              </w:rPr>
              <w:t>外围路面、外墙清洗、地下室、站房内部（含公共区域、室内区域）</w:t>
            </w:r>
          </w:p>
        </w:tc>
        <w:tc>
          <w:tcPr>
            <w:tcW w:w="709" w:type="dxa"/>
            <w:vAlign w:val="center"/>
          </w:tcPr>
          <w:p>
            <w:pPr>
              <w:snapToGrid w:val="0"/>
              <w:rPr>
                <w:rFonts w:ascii="宋体" w:hAnsi="宋体"/>
                <w:szCs w:val="21"/>
              </w:rPr>
            </w:pPr>
            <w:r>
              <w:rPr>
                <w:rFonts w:hint="eastAsia" w:ascii="宋体" w:hAnsi="宋体"/>
                <w:szCs w:val="21"/>
              </w:rPr>
              <w:t>外墙</w:t>
            </w:r>
          </w:p>
        </w:tc>
        <w:tc>
          <w:tcPr>
            <w:tcW w:w="7049" w:type="dxa"/>
            <w:vAlign w:val="center"/>
          </w:tcPr>
          <w:p>
            <w:pPr>
              <w:snapToGrid w:val="0"/>
              <w:rPr>
                <w:rFonts w:ascii="宋体" w:hAnsi="宋体"/>
                <w:szCs w:val="21"/>
              </w:rPr>
            </w:pPr>
            <w:r>
              <w:rPr>
                <w:rFonts w:hint="eastAsia" w:ascii="宋体" w:hAnsi="宋体"/>
                <w:szCs w:val="21"/>
              </w:rPr>
              <w:t>3米以下墙面：外墙面无污迹、无胶迹，边缝墙角清爽，整体目测洁净。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271" w:type="dxa"/>
            <w:vMerge w:val="continue"/>
          </w:tcPr>
          <w:p>
            <w:pPr>
              <w:snapToGrid w:val="0"/>
              <w:rPr>
                <w:rFonts w:ascii="宋体" w:hAnsi="宋体"/>
                <w:szCs w:val="21"/>
              </w:rPr>
            </w:pPr>
          </w:p>
        </w:tc>
        <w:tc>
          <w:tcPr>
            <w:tcW w:w="709" w:type="dxa"/>
            <w:vMerge w:val="restart"/>
            <w:vAlign w:val="center"/>
          </w:tcPr>
          <w:p>
            <w:pPr>
              <w:snapToGrid w:val="0"/>
              <w:rPr>
                <w:rFonts w:ascii="宋体" w:hAnsi="宋体"/>
                <w:szCs w:val="21"/>
              </w:rPr>
            </w:pPr>
            <w:r>
              <w:rPr>
                <w:rFonts w:hint="eastAsia" w:ascii="宋体" w:hAnsi="宋体"/>
                <w:szCs w:val="21"/>
              </w:rPr>
              <w:t>室外公共区域</w:t>
            </w:r>
          </w:p>
        </w:tc>
        <w:tc>
          <w:tcPr>
            <w:tcW w:w="7049" w:type="dxa"/>
            <w:vAlign w:val="center"/>
          </w:tcPr>
          <w:p>
            <w:pPr>
              <w:snapToGrid w:val="0"/>
              <w:rPr>
                <w:rFonts w:ascii="宋体" w:hAnsi="宋体"/>
                <w:szCs w:val="21"/>
              </w:rPr>
            </w:pPr>
            <w:r>
              <w:rPr>
                <w:rFonts w:hint="eastAsia" w:ascii="宋体" w:hAnsi="宋体"/>
                <w:szCs w:val="21"/>
              </w:rPr>
              <w:t>道路、地面呈本色。大理石、地砖等无水泥、涂料、胶迹污染、无砂灰、边缝墙角清爽，整体目测洁净。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271" w:type="dxa"/>
            <w:vMerge w:val="continue"/>
          </w:tcPr>
          <w:p>
            <w:pPr>
              <w:snapToGrid w:val="0"/>
              <w:rPr>
                <w:rFonts w:ascii="宋体" w:hAnsi="宋体"/>
                <w:szCs w:val="21"/>
              </w:rPr>
            </w:pPr>
          </w:p>
        </w:tc>
        <w:tc>
          <w:tcPr>
            <w:tcW w:w="709" w:type="dxa"/>
            <w:vMerge w:val="continue"/>
            <w:vAlign w:val="center"/>
          </w:tcPr>
          <w:p>
            <w:pPr>
              <w:snapToGrid w:val="0"/>
              <w:rPr>
                <w:rFonts w:ascii="宋体" w:hAnsi="宋体"/>
                <w:szCs w:val="21"/>
              </w:rPr>
            </w:pPr>
          </w:p>
        </w:tc>
        <w:tc>
          <w:tcPr>
            <w:tcW w:w="7049" w:type="dxa"/>
            <w:vAlign w:val="center"/>
          </w:tcPr>
          <w:p>
            <w:pPr>
              <w:snapToGrid w:val="0"/>
              <w:rPr>
                <w:rFonts w:ascii="宋体" w:hAnsi="宋体"/>
                <w:szCs w:val="21"/>
              </w:rPr>
            </w:pPr>
            <w:r>
              <w:rPr>
                <w:rFonts w:hint="eastAsia" w:ascii="宋体" w:hAnsi="宋体"/>
                <w:szCs w:val="21"/>
              </w:rPr>
              <w:t>绿化带无杂物堆积、无砖渣石块等。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271" w:type="dxa"/>
            <w:vMerge w:val="continue"/>
          </w:tcPr>
          <w:p>
            <w:pPr>
              <w:snapToGrid w:val="0"/>
              <w:rPr>
                <w:rFonts w:ascii="宋体" w:hAnsi="宋体"/>
                <w:szCs w:val="21"/>
              </w:rPr>
            </w:pPr>
          </w:p>
        </w:tc>
        <w:tc>
          <w:tcPr>
            <w:tcW w:w="709" w:type="dxa"/>
            <w:vMerge w:val="continue"/>
            <w:vAlign w:val="center"/>
          </w:tcPr>
          <w:p>
            <w:pPr>
              <w:snapToGrid w:val="0"/>
              <w:rPr>
                <w:rFonts w:ascii="宋体" w:hAnsi="宋体"/>
                <w:szCs w:val="21"/>
              </w:rPr>
            </w:pPr>
          </w:p>
        </w:tc>
        <w:tc>
          <w:tcPr>
            <w:tcW w:w="7049" w:type="dxa"/>
            <w:vAlign w:val="center"/>
          </w:tcPr>
          <w:p>
            <w:pPr>
              <w:snapToGrid w:val="0"/>
              <w:rPr>
                <w:rFonts w:ascii="宋体" w:hAnsi="宋体"/>
                <w:szCs w:val="21"/>
              </w:rPr>
            </w:pPr>
            <w:r>
              <w:rPr>
                <w:rFonts w:hint="eastAsia" w:ascii="宋体" w:hAnsi="宋体"/>
                <w:szCs w:val="21"/>
              </w:rPr>
              <w:t>室外配套设施、设备无水泥、涂料、胶迹污染、无砂灰、整体目测洁净。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1271" w:type="dxa"/>
            <w:vMerge w:val="continue"/>
          </w:tcPr>
          <w:p>
            <w:pPr>
              <w:snapToGrid w:val="0"/>
              <w:rPr>
                <w:rFonts w:ascii="宋体" w:hAnsi="宋体"/>
                <w:szCs w:val="21"/>
              </w:rPr>
            </w:pPr>
          </w:p>
        </w:tc>
        <w:tc>
          <w:tcPr>
            <w:tcW w:w="709" w:type="dxa"/>
            <w:vMerge w:val="restart"/>
            <w:vAlign w:val="center"/>
          </w:tcPr>
          <w:p>
            <w:pPr>
              <w:snapToGrid w:val="0"/>
              <w:rPr>
                <w:rFonts w:ascii="宋体" w:hAnsi="宋体"/>
                <w:szCs w:val="21"/>
              </w:rPr>
            </w:pPr>
          </w:p>
          <w:p>
            <w:pPr>
              <w:snapToGrid w:val="0"/>
              <w:rPr>
                <w:rFonts w:ascii="宋体" w:hAnsi="宋体"/>
                <w:szCs w:val="21"/>
              </w:rPr>
            </w:pPr>
            <w:r>
              <w:rPr>
                <w:rFonts w:hint="eastAsia" w:ascii="宋体" w:hAnsi="宋体"/>
                <w:szCs w:val="21"/>
              </w:rPr>
              <w:t>室内公共区域</w:t>
            </w:r>
          </w:p>
        </w:tc>
        <w:tc>
          <w:tcPr>
            <w:tcW w:w="7049" w:type="dxa"/>
          </w:tcPr>
          <w:p>
            <w:pPr>
              <w:snapToGrid w:val="0"/>
              <w:rPr>
                <w:rFonts w:ascii="宋体" w:hAnsi="宋体"/>
                <w:szCs w:val="21"/>
              </w:rPr>
            </w:pPr>
            <w:r>
              <w:rPr>
                <w:rFonts w:hint="eastAsia" w:ascii="宋体" w:hAnsi="宋体"/>
                <w:szCs w:val="21"/>
              </w:rPr>
              <w:t>一般地面呈本色。无涂料胶迹污染、无砂灰、边缝墙角清爽，整体目测洁净。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vAlign w:val="center"/>
          </w:tcPr>
          <w:p>
            <w:pPr>
              <w:snapToGrid w:val="0"/>
              <w:rPr>
                <w:rFonts w:ascii="宋体" w:hAnsi="宋体"/>
                <w:szCs w:val="21"/>
              </w:rPr>
            </w:pPr>
            <w:r>
              <w:rPr>
                <w:rFonts w:hint="eastAsia" w:ascii="宋体" w:hAnsi="宋体"/>
                <w:szCs w:val="21"/>
              </w:rPr>
              <w:t>石材地面呈本色。无涂料胶迹污染、无砂灰、边缝墙角清爽。整体目测洁净。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tcPr>
          <w:p>
            <w:pPr>
              <w:snapToGrid w:val="0"/>
              <w:rPr>
                <w:rFonts w:ascii="宋体" w:hAnsi="宋体"/>
                <w:szCs w:val="21"/>
              </w:rPr>
            </w:pPr>
            <w:r>
              <w:rPr>
                <w:rFonts w:hint="eastAsia" w:ascii="宋体" w:hAnsi="宋体"/>
                <w:szCs w:val="21"/>
              </w:rPr>
              <w:t>墙面除腊，无污迹、无胶迹，边缝墙角清爽，整体目测洁净。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tcPr>
          <w:p>
            <w:pPr>
              <w:snapToGrid w:val="0"/>
              <w:rPr>
                <w:rFonts w:ascii="宋体" w:hAnsi="宋体"/>
                <w:szCs w:val="21"/>
              </w:rPr>
            </w:pPr>
            <w:r>
              <w:rPr>
                <w:rFonts w:hint="eastAsia" w:ascii="宋体" w:hAnsi="宋体"/>
                <w:szCs w:val="21"/>
              </w:rPr>
              <w:t>开关正面、侧面、切面光亮无灰，无涂料污迹。开关内侧及铰接处光亮无灰。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vAlign w:val="center"/>
          </w:tcPr>
          <w:p>
            <w:pPr>
              <w:snapToGrid w:val="0"/>
              <w:rPr>
                <w:rFonts w:ascii="宋体" w:hAnsi="宋体"/>
                <w:szCs w:val="21"/>
              </w:rPr>
            </w:pPr>
            <w:r>
              <w:rPr>
                <w:rFonts w:hint="eastAsia" w:ascii="宋体" w:hAnsi="宋体"/>
                <w:szCs w:val="21"/>
              </w:rPr>
              <w:t>玻璃（1）室内所有玻璃内外洁净光亮无水迹、胶迹及指纹印迹。（2）玻璃边框呈本色，无胶迹、无涂料污染，光亮无尘；上下左右框槽内无污迹、无积灰。（3）通风窗侧视无积灰、呈本色。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vAlign w:val="center"/>
          </w:tcPr>
          <w:p>
            <w:pPr>
              <w:snapToGrid w:val="0"/>
              <w:rPr>
                <w:rFonts w:ascii="宋体" w:hAnsi="宋体"/>
                <w:szCs w:val="21"/>
              </w:rPr>
            </w:pPr>
            <w:r>
              <w:rPr>
                <w:rFonts w:hint="eastAsia" w:ascii="宋体" w:hAnsi="宋体"/>
                <w:szCs w:val="21"/>
              </w:rPr>
              <w:t>门窗呈门窗本色，门侧、窗侧、窗槽和顶端、底端无灰，门槛无污迹、无灰，门锁光亮无灰。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tcPr>
          <w:p>
            <w:pPr>
              <w:snapToGrid w:val="0"/>
              <w:rPr>
                <w:rFonts w:ascii="宋体" w:hAnsi="宋体"/>
                <w:szCs w:val="21"/>
              </w:rPr>
            </w:pPr>
            <w:r>
              <w:rPr>
                <w:rFonts w:hint="eastAsia" w:ascii="宋体" w:hAnsi="宋体"/>
                <w:szCs w:val="21"/>
              </w:rPr>
              <w:t>栏杆扶手无油漆、涂料污染，呈本色，整体目测洁净。。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tcPr>
          <w:p>
            <w:pPr>
              <w:snapToGrid w:val="0"/>
              <w:rPr>
                <w:rFonts w:ascii="宋体" w:hAnsi="宋体"/>
                <w:szCs w:val="21"/>
              </w:rPr>
            </w:pPr>
            <w:r>
              <w:rPr>
                <w:rFonts w:hint="eastAsia" w:ascii="宋体" w:hAnsi="宋体"/>
                <w:szCs w:val="21"/>
              </w:rPr>
              <w:t>水、电、气、弱电等设备箱、设备间地面无涂料污染，内外无垃圾；各类管道无涂料、胶迹污染；整体目测洁净。。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tcPr>
          <w:p>
            <w:pPr>
              <w:snapToGrid w:val="0"/>
              <w:rPr>
                <w:rFonts w:ascii="宋体" w:hAnsi="宋体"/>
                <w:szCs w:val="21"/>
              </w:rPr>
            </w:pPr>
            <w:r>
              <w:rPr>
                <w:rFonts w:hint="eastAsia" w:ascii="宋体" w:hAnsi="宋体"/>
                <w:szCs w:val="21"/>
              </w:rPr>
              <w:t>扶梯、电梯轿厢无灰尘、不锈钢镜面整洁明亮。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restart"/>
            <w:vAlign w:val="center"/>
          </w:tcPr>
          <w:p>
            <w:pPr>
              <w:snapToGrid w:val="0"/>
              <w:rPr>
                <w:rFonts w:ascii="宋体" w:hAnsi="宋体"/>
                <w:szCs w:val="21"/>
              </w:rPr>
            </w:pPr>
            <w:r>
              <w:rPr>
                <w:rFonts w:hint="eastAsia" w:ascii="宋体" w:hAnsi="宋体"/>
                <w:szCs w:val="21"/>
              </w:rPr>
              <w:t>地下</w:t>
            </w:r>
          </w:p>
          <w:p>
            <w:pPr>
              <w:snapToGrid w:val="0"/>
              <w:rPr>
                <w:rFonts w:ascii="宋体" w:hAnsi="宋体"/>
                <w:szCs w:val="21"/>
              </w:rPr>
            </w:pPr>
            <w:r>
              <w:rPr>
                <w:rFonts w:hint="eastAsia" w:ascii="宋体" w:hAnsi="宋体"/>
                <w:szCs w:val="21"/>
              </w:rPr>
              <w:t>车库</w:t>
            </w:r>
          </w:p>
        </w:tc>
        <w:tc>
          <w:tcPr>
            <w:tcW w:w="7049" w:type="dxa"/>
          </w:tcPr>
          <w:p>
            <w:pPr>
              <w:snapToGrid w:val="0"/>
              <w:rPr>
                <w:rFonts w:ascii="宋体" w:hAnsi="宋体"/>
                <w:szCs w:val="21"/>
              </w:rPr>
            </w:pPr>
            <w:r>
              <w:rPr>
                <w:rFonts w:hint="eastAsia" w:ascii="宋体" w:hAnsi="宋体"/>
                <w:szCs w:val="21"/>
              </w:rPr>
              <w:t>各类管道无涂料、胶迹污染，目测洁净。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vAlign w:val="center"/>
          </w:tcPr>
          <w:p>
            <w:pPr>
              <w:snapToGrid w:val="0"/>
              <w:rPr>
                <w:rFonts w:ascii="宋体" w:hAnsi="宋体"/>
                <w:szCs w:val="21"/>
              </w:rPr>
            </w:pPr>
            <w:r>
              <w:rPr>
                <w:rFonts w:hint="eastAsia" w:ascii="宋体" w:hAnsi="宋体"/>
                <w:szCs w:val="21"/>
              </w:rPr>
              <w:t>地面无水泥油漆、无涂料胶迹污染、边缝墙角清爽。无建筑材料堆放。整体目测洁净。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271" w:type="dxa"/>
            <w:vMerge w:val="continue"/>
          </w:tcPr>
          <w:p>
            <w:pPr>
              <w:snapToGrid w:val="0"/>
              <w:rPr>
                <w:rFonts w:ascii="宋体" w:hAnsi="宋体"/>
                <w:szCs w:val="21"/>
              </w:rPr>
            </w:pPr>
          </w:p>
        </w:tc>
        <w:tc>
          <w:tcPr>
            <w:tcW w:w="709" w:type="dxa"/>
            <w:vMerge w:val="continue"/>
          </w:tcPr>
          <w:p>
            <w:pPr>
              <w:snapToGrid w:val="0"/>
              <w:rPr>
                <w:rFonts w:ascii="宋体" w:hAnsi="宋体"/>
                <w:szCs w:val="21"/>
              </w:rPr>
            </w:pPr>
          </w:p>
        </w:tc>
        <w:tc>
          <w:tcPr>
            <w:tcW w:w="7049" w:type="dxa"/>
          </w:tcPr>
          <w:p>
            <w:pPr>
              <w:snapToGrid w:val="0"/>
              <w:rPr>
                <w:rFonts w:ascii="宋体" w:hAnsi="宋体"/>
                <w:szCs w:val="21"/>
              </w:rPr>
            </w:pPr>
            <w:r>
              <w:rPr>
                <w:rFonts w:hint="eastAsia" w:ascii="宋体" w:hAnsi="宋体"/>
                <w:szCs w:val="21"/>
              </w:rPr>
              <w:t>水泵房、设备间等地面无涂料污染，内外无垃圾，整体目测洁净。</w:t>
            </w:r>
          </w:p>
        </w:tc>
      </w:tr>
    </w:tbl>
    <w:p>
      <w:pPr>
        <w:spacing w:beforeLines="50" w:afterLines="50" w:line="400" w:lineRule="exact"/>
        <w:ind w:firstLine="420" w:firstLineChars="200"/>
        <w:rPr>
          <w:rFonts w:ascii="微软雅黑" w:hAnsi="微软雅黑" w:eastAsia="微软雅黑" w:cs="宋体"/>
          <w:b/>
          <w:szCs w:val="21"/>
        </w:rPr>
      </w:pPr>
      <w:r>
        <w:rPr>
          <w:rFonts w:hint="eastAsia" w:ascii="微软雅黑" w:hAnsi="微软雅黑" w:eastAsia="微软雅黑" w:cs="宋体"/>
          <w:b/>
          <w:szCs w:val="21"/>
        </w:rPr>
        <w:t>九、服务期限</w:t>
      </w:r>
    </w:p>
    <w:p>
      <w:pPr>
        <w:snapToGrid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1、服务期限：服务期限为10年，具体开始时间以采购人交付之日起计算，截止时间顺延计算。</w:t>
      </w:r>
    </w:p>
    <w:p>
      <w:pPr>
        <w:snapToGrid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2、中标人须承诺在枢纽正式投入运营前1－2个月内人员进场开展管理工作（具时间以采购人通知为准）。</w:t>
      </w:r>
    </w:p>
    <w:p>
      <w:pPr>
        <w:snapToGrid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3、服务期限结束，服务方应在到期日的下午17：00时前撤离，并提前完成移交手续。</w:t>
      </w:r>
    </w:p>
    <w:p>
      <w:pPr>
        <w:snapToGrid w:val="0"/>
        <w:spacing w:beforeLines="50" w:afterLines="50" w:line="400" w:lineRule="exact"/>
        <w:ind w:firstLine="420" w:firstLineChars="200"/>
        <w:jc w:val="left"/>
        <w:rPr>
          <w:rFonts w:ascii="微软雅黑" w:hAnsi="微软雅黑" w:eastAsia="微软雅黑" w:cs="宋体"/>
          <w:b/>
          <w:szCs w:val="21"/>
        </w:rPr>
      </w:pPr>
      <w:r>
        <w:rPr>
          <w:rFonts w:hint="eastAsia" w:ascii="微软雅黑" w:hAnsi="微软雅黑" w:eastAsia="微软雅黑" w:cs="宋体"/>
          <w:b/>
          <w:szCs w:val="21"/>
        </w:rPr>
        <w:t>十、履约担保</w:t>
      </w:r>
    </w:p>
    <w:p>
      <w:pPr>
        <w:adjustRightInd w:val="0"/>
        <w:snapToGrid w:val="0"/>
        <w:spacing w:line="400" w:lineRule="exact"/>
        <w:ind w:firstLine="308" w:firstLineChars="147"/>
        <w:rPr>
          <w:rFonts w:ascii="宋体" w:hAnsi="宋体"/>
          <w:bCs/>
          <w:sz w:val="24"/>
        </w:rPr>
      </w:pPr>
      <w:r>
        <w:rPr>
          <w:rFonts w:hint="eastAsia" w:ascii="微软雅黑" w:hAnsi="微软雅黑" w:eastAsia="微软雅黑" w:cs="宋体"/>
          <w:szCs w:val="21"/>
        </w:rPr>
        <w:t>1、为了保证本合同的履行，中标人应在本合同签订前向采购人支付</w:t>
      </w:r>
      <w:r>
        <w:rPr>
          <w:rFonts w:hint="eastAsia" w:ascii="微软雅黑" w:hAnsi="微软雅黑" w:eastAsia="微软雅黑" w:cs="宋体"/>
          <w:szCs w:val="21"/>
          <w:u w:val="single"/>
        </w:rPr>
        <w:t>中标价的10%</w:t>
      </w:r>
      <w:r>
        <w:rPr>
          <w:rFonts w:hint="eastAsia" w:ascii="宋体" w:hAnsi="宋体"/>
          <w:bCs/>
          <w:sz w:val="24"/>
        </w:rPr>
        <w:t>，</w:t>
      </w:r>
      <w:r>
        <w:rPr>
          <w:rFonts w:hint="eastAsia" w:ascii="微软雅黑" w:hAnsi="微软雅黑" w:eastAsia="微软雅黑" w:cs="宋体"/>
          <w:szCs w:val="21"/>
        </w:rPr>
        <w:t>作为本合同的履约担保金</w:t>
      </w:r>
      <w:r>
        <w:rPr>
          <w:rFonts w:hint="eastAsia" w:ascii="宋体" w:hAnsi="宋体"/>
          <w:bCs/>
          <w:sz w:val="24"/>
        </w:rPr>
        <w:t>。</w:t>
      </w:r>
      <w:r>
        <w:rPr>
          <w:rFonts w:hint="eastAsia" w:ascii="微软雅黑" w:hAnsi="微软雅黑" w:eastAsia="微软雅黑" w:cs="Arial"/>
          <w:szCs w:val="21"/>
        </w:rPr>
        <w:t>履约担保形式可以银行汇票（电汇）或银行保函或保险公司保函或转账支票方式缴纳。</w:t>
      </w:r>
    </w:p>
    <w:p>
      <w:pPr>
        <w:adjustRightInd w:val="0"/>
        <w:snapToGrid w:val="0"/>
        <w:spacing w:line="400" w:lineRule="exact"/>
        <w:ind w:firstLine="308" w:firstLineChars="147"/>
        <w:rPr>
          <w:rFonts w:ascii="微软雅黑" w:hAnsi="微软雅黑" w:eastAsia="微软雅黑" w:cs="宋体"/>
          <w:szCs w:val="21"/>
        </w:rPr>
      </w:pPr>
      <w:r>
        <w:rPr>
          <w:rFonts w:hint="eastAsia" w:ascii="微软雅黑" w:hAnsi="微软雅黑" w:eastAsia="微软雅黑" w:cs="宋体"/>
          <w:szCs w:val="21"/>
        </w:rPr>
        <w:t>2、在本合同履行期间中标人有违约行为的，采购人有权直接从履约担保金中扣除违约金或赔款；采购人按约定扣除履约担保金的，中标人应在15日之内补足。</w:t>
      </w:r>
    </w:p>
    <w:p>
      <w:pPr>
        <w:adjustRightInd w:val="0"/>
        <w:snapToGrid w:val="0"/>
        <w:spacing w:line="400" w:lineRule="exact"/>
        <w:ind w:firstLine="308" w:firstLineChars="147"/>
        <w:rPr>
          <w:rFonts w:ascii="微软雅黑" w:hAnsi="微软雅黑" w:eastAsia="微软雅黑" w:cs="宋体"/>
          <w:color w:val="FF0000"/>
          <w:szCs w:val="21"/>
        </w:rPr>
      </w:pPr>
      <w:r>
        <w:rPr>
          <w:rFonts w:hint="eastAsia" w:ascii="微软雅黑" w:hAnsi="微软雅黑" w:eastAsia="微软雅黑" w:cs="宋体"/>
          <w:szCs w:val="21"/>
        </w:rPr>
        <w:t>3、本合同终止后，中标人依照本合同约定移交物业、结清水电及各种费用、注销相关执照或变更营业地址等，与业主完成交接工作后，采购人在</w:t>
      </w:r>
      <w:r>
        <w:rPr>
          <w:rFonts w:hint="eastAsia" w:ascii="微软雅黑" w:hAnsi="微软雅黑" w:eastAsia="微软雅黑" w:cs="宋体"/>
          <w:szCs w:val="21"/>
          <w:u w:val="single"/>
        </w:rPr>
        <w:t>一个月</w:t>
      </w:r>
      <w:r>
        <w:rPr>
          <w:rFonts w:hint="eastAsia" w:ascii="微软雅黑" w:hAnsi="微软雅黑" w:eastAsia="微软雅黑" w:cs="宋体"/>
          <w:szCs w:val="21"/>
        </w:rPr>
        <w:t>内返还中标人剩余履约担保金（不计利息）。</w:t>
      </w:r>
    </w:p>
    <w:p>
      <w:pPr>
        <w:snapToGrid w:val="0"/>
        <w:spacing w:beforeLines="50" w:afterLines="50" w:line="400" w:lineRule="exact"/>
        <w:ind w:firstLine="420" w:firstLineChars="200"/>
        <w:jc w:val="left"/>
        <w:rPr>
          <w:rFonts w:ascii="微软雅黑" w:hAnsi="微软雅黑" w:eastAsia="微软雅黑" w:cs="宋体"/>
          <w:b/>
          <w:szCs w:val="21"/>
        </w:rPr>
      </w:pPr>
      <w:r>
        <w:rPr>
          <w:rFonts w:hint="eastAsia" w:ascii="微软雅黑" w:hAnsi="微软雅黑" w:eastAsia="微软雅黑" w:cs="宋体"/>
          <w:b/>
          <w:szCs w:val="21"/>
        </w:rPr>
        <w:t>十一、其他说明</w:t>
      </w:r>
    </w:p>
    <w:p>
      <w:pPr>
        <w:snapToGrid w:val="0"/>
        <w:spacing w:line="400" w:lineRule="exact"/>
        <w:ind w:firstLine="420" w:firstLineChars="200"/>
        <w:jc w:val="left"/>
        <w:rPr>
          <w:rFonts w:ascii="微软雅黑" w:hAnsi="微软雅黑" w:eastAsia="微软雅黑" w:cs="宋体"/>
          <w:color w:val="FF0000"/>
          <w:szCs w:val="21"/>
        </w:rPr>
      </w:pPr>
      <w:r>
        <w:rPr>
          <w:rFonts w:hint="eastAsia" w:ascii="微软雅黑" w:hAnsi="微软雅黑" w:eastAsia="微软雅黑" w:cs="宋体"/>
          <w:szCs w:val="21"/>
        </w:rPr>
        <w:t>1、合同生效后，如合同项目因上级政策调整造成停止，采购人有权解除合同，若中标方未开始工作的，则自动解除合同，采购人不承担违约责任，不支付任何款项。若中标方已开始部分工作，双方协商补偿费用，并对采购人已付款项予以结算。</w:t>
      </w:r>
    </w:p>
    <w:p>
      <w:pPr>
        <w:snapToGrid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2、本项目主要商业：商业综合楼5032平方，场站商业2832平方，停车位737个后调整为779个（含机械车位418个、地上37个），室内广告位26处共258平方（其中有7处已做好灯箱），室外灯箱广告1处四面共约222平方，电子显示屏1面123平方，修理厂房等，具体图纸由采购人提供。以上面积匀为设计提供面积和后续调整数字，具体面积以交付后实际为准。</w:t>
      </w:r>
    </w:p>
    <w:p>
      <w:pPr>
        <w:snapToGrid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3、采购人提供的货物保质期：扶梯、电梯为3年；房屋防水外墙面的防渗为5年；电气管线、给排水管道、空调、机械车位为2年。</w:t>
      </w:r>
    </w:p>
    <w:p>
      <w:pPr>
        <w:snapToGrid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4、保修期外的公共房屋、工程维护、门窗、五金、室外道路等日常维修维护（大中修除外）由中标人负责，投标人在报价中应予以考虑。</w:t>
      </w:r>
    </w:p>
    <w:p>
      <w:pPr>
        <w:snapToGrid w:val="0"/>
        <w:spacing w:beforeLines="50" w:afterLines="50" w:line="400" w:lineRule="exact"/>
        <w:ind w:firstLine="420" w:firstLineChars="200"/>
        <w:jc w:val="left"/>
        <w:rPr>
          <w:rFonts w:ascii="微软雅黑" w:hAnsi="微软雅黑" w:eastAsia="微软雅黑" w:cs="宋体"/>
          <w:b/>
          <w:bCs/>
          <w:szCs w:val="21"/>
        </w:rPr>
      </w:pPr>
      <w:r>
        <w:rPr>
          <w:rFonts w:hint="eastAsia" w:ascii="微软雅黑" w:hAnsi="微软雅黑" w:eastAsia="微软雅黑" w:cs="宋体"/>
          <w:b/>
          <w:bCs/>
          <w:szCs w:val="21"/>
        </w:rPr>
        <w:t>十二、特别约定</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采购人在实际商业经营活动中，如准备对现有设计范围以外的商业空间进行扩展（如广告位、商业面积、停车位等）或增加商业功能，需与采购人提出书面申请，经采购人确认同意后方可实施，所产生的收益分成另行协商。</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2、在服务期间因运营管理需要，需增加机械、设备及设施应征得采购人同意，并聘请有资格的承造商进行安装、保养并将施工安装保养记录手册和图，交由采购人备案。上述所有费用由中标人自行承担。</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3、</w:t>
      </w:r>
      <w:r>
        <w:rPr>
          <w:rFonts w:hint="eastAsia" w:ascii="微软雅黑" w:hAnsi="微软雅黑" w:eastAsia="微软雅黑" w:cs="宋体"/>
        </w:rPr>
        <w:t>中标人在收到中标（成交）通知书后签订服务合同，并要求在衢州市范围内设立全资子公司（子公司名称要经采购人同意），日常事务由中标人子公司负责处理，</w:t>
      </w:r>
      <w:r>
        <w:rPr>
          <w:rFonts w:hint="eastAsia" w:ascii="微软雅黑" w:hAnsi="微软雅黑" w:eastAsia="微软雅黑" w:cs="宋体"/>
          <w:u w:val="single"/>
        </w:rPr>
        <w:t>采购人对本项目所发生的补贴费用直接支付给子公司。</w:t>
      </w:r>
      <w:r>
        <w:rPr>
          <w:rFonts w:hint="eastAsia" w:ascii="微软雅黑" w:hAnsi="微软雅黑" w:eastAsia="微软雅黑" w:cs="宋体"/>
        </w:rPr>
        <w:t>母公司负责对子公司经营管理进行监督并承担连带责任，子公司无力承担经济责任和管理责任时由母公司接管并承担所有义务。</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4、采购人根据设计规划方案，采购相关的设施设备进行安装验收合格后，交托给中标人使用，后期所有设施设备的保养、维修及费用由中标人自行负责并承担费用。单价2000元以上设施设备，使用年限到期无法继续使用需要更换的，由中标人提出，报采购人审批同意后，费用由采购人支付（不含商业综合楼）。在运营期内，一次性开办费所涉及的所有工具及设施设备均由中标人自行负责并承担费用。</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5、运营期间，根据枢纽场站管理需要或上级对创建工作有关要求，需添加相关设施、标识标牌、附属物等，以及平时文化活动、节日装点、绿植租摆等，由中标人自行负责并承担费用。因创建工作需要，需增加相关设施或宣传广告的，单次综合费用</w:t>
      </w:r>
      <w:r>
        <w:rPr>
          <w:rFonts w:hint="eastAsia" w:ascii="微软雅黑" w:hAnsi="微软雅黑" w:eastAsia="微软雅黑" w:cs="宋体"/>
          <w:szCs w:val="21"/>
          <w:u w:val="single"/>
        </w:rPr>
        <w:t>2000元</w:t>
      </w:r>
      <w:r>
        <w:rPr>
          <w:rFonts w:hint="eastAsia" w:ascii="微软雅黑" w:hAnsi="微软雅黑" w:eastAsia="微软雅黑" w:cs="宋体"/>
          <w:szCs w:val="21"/>
        </w:rPr>
        <w:t>以上部分（不含人工费），由中标人提出，报采购人审批同意后另行支付（不含商业综合楼）。</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6、如出现因中标人管理不善造成设施、设备的损坏或损毁，由中标人负责及时维修或更新，由此造成的经济损失由中标人承担，采购人按考核办法进行考核处理。</w:t>
      </w:r>
    </w:p>
    <w:p>
      <w:pPr>
        <w:snapToGrid w:val="0"/>
        <w:spacing w:line="420" w:lineRule="exact"/>
        <w:ind w:firstLine="420" w:firstLineChars="200"/>
        <w:jc w:val="left"/>
        <w:rPr>
          <w:rFonts w:ascii="微软雅黑" w:hAnsi="微软雅黑" w:eastAsia="微软雅黑" w:cs="宋体"/>
          <w:szCs w:val="21"/>
          <w:highlight w:val="yellow"/>
        </w:rPr>
      </w:pPr>
      <w:r>
        <w:rPr>
          <w:rFonts w:hint="eastAsia" w:ascii="微软雅黑" w:hAnsi="微软雅黑" w:eastAsia="微软雅黑" w:cs="宋体"/>
          <w:szCs w:val="21"/>
        </w:rPr>
        <w:t>7、商业综合楼以酒店方式经营，由中标人自行装修（含空调等所有设备），采购人只提供土建完工现有空壳并安装好电梯，中标人装修方案须报采购人审核同意。商业综合楼装修要求原则上按1500万左右标准，第一期投入要求最低不少于1000万元，后期更新改造投入由中标人自行负责，服务期满后，中标人不得对综合楼所有固定装修设施设备予以拆除（无偿归采购人所有）。</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8、中标人受托运营后，在预定通车运营前二个月及时组建团队进入装修现场，其中管理人员运营前2个月进场，普通工作人员（含保安保洁）运营前1个月进场，制定和完善运营方案，开展人员培训，熟识管理区域，重点对隐蔽工程，关键设备如中央空调主机和管道、高低压设备、电梯设备、消防设施及监控设备等前期介入交接，为后期正常顺利运营创造条件。</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9、正式运营前一个月，由中标人组织人员对所有枢纽场地进行开荒，按照保洁开荒要求，确保地面、墙面、卫生间、门窗、幕墙、设施等所属服务区域卫生干净清洁，所需人工费、材料费在已列入的一次性费用中由中标人自行负责。</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10、场站现有设计单位提供的商业地块仅限区域图，没有实际分隔，由中标人根据设计方提供的商业位置区域自行装修，所有涉及结构改造或增加设备必须经过原设计单位或与原设计单位具有同等资质以上的设计单位验算确认，费用由中标人自行承担。</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11、中标后，中标人承诺为采购人派驻枢纽运营管理的工作人员提供20个免费停车位。</w:t>
      </w:r>
    </w:p>
    <w:p>
      <w:pPr>
        <w:spacing w:line="42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12、中标后，中标人要在签订合同后办理水电表过户手续并自负责所涉费用，采购人提供相关资料；内部燃气接入、光纤宽带接入等由中标人自行申报并承担相关费用。</w:t>
      </w:r>
    </w:p>
    <w:p>
      <w:pPr>
        <w:spacing w:line="42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13、中标人对客运枢纽的运营管理是整体性和全面性的，招标文件难以全面表达全部内容，如有漏项或表述不全的，在实际工作中由中标人自行按规范要求做好各项管理工作，自行承担相关风险，确保枢纽高效、安全运行，树立窗口良好形象。</w:t>
      </w:r>
    </w:p>
    <w:p>
      <w:pPr>
        <w:spacing w:line="420" w:lineRule="exact"/>
        <w:ind w:firstLine="420" w:firstLineChars="200"/>
        <w:rPr>
          <w:rFonts w:ascii="微软雅黑" w:hAnsi="微软雅黑" w:eastAsia="微软雅黑" w:cs="宋体"/>
          <w:b/>
          <w:szCs w:val="21"/>
        </w:rPr>
      </w:pPr>
      <w:r>
        <w:rPr>
          <w:rFonts w:hint="eastAsia" w:ascii="微软雅黑" w:hAnsi="微软雅黑" w:eastAsia="微软雅黑" w:cs="宋体"/>
          <w:szCs w:val="21"/>
        </w:rPr>
        <w:t>14、采购人对本项目招标范围以外的商业功能增加（如在室外另外区域设计增加停车场、建造加油加气站等）,不属本次招标范围。采购人对枢纽场站（不含本次招标范围所指商业区域）内部功能布局、使用、划分以及管理用房分配等有决定权和支配权，必要时会同设计单位、中标方共同研究决定。</w:t>
      </w:r>
    </w:p>
    <w:p>
      <w:pPr>
        <w:spacing w:line="420" w:lineRule="exact"/>
        <w:ind w:firstLine="420" w:firstLineChars="200"/>
        <w:rPr>
          <w:rFonts w:ascii="微软雅黑" w:hAnsi="微软雅黑" w:eastAsia="微软雅黑" w:cs="宋体"/>
          <w:b/>
          <w:szCs w:val="21"/>
        </w:rPr>
      </w:pPr>
      <w:r>
        <w:rPr>
          <w:rFonts w:hint="eastAsia" w:ascii="微软雅黑" w:hAnsi="微软雅黑" w:eastAsia="微软雅黑" w:cs="宋体"/>
          <w:szCs w:val="21"/>
        </w:rPr>
        <w:t>15、本项目正式运营开始时间以市政府或上级主管部门明确的公交车、出租车及地下停车库投入运营使用的时间为准。长途客运、农村客运因故推迟使用不影响整个枢纽运营管理，由于长途客运、农村客运未使用产生的商业影响可与相对应减少该处保安保洁人数、减少场站水电费等成本支出相抵消，合同价格不作另行调整。</w:t>
      </w:r>
    </w:p>
    <w:p>
      <w:pPr>
        <w:snapToGrid w:val="0"/>
        <w:spacing w:line="42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16、其他未尽事宜涉及重大事项的双方另行商议。</w:t>
      </w:r>
    </w:p>
    <w:p>
      <w:pPr>
        <w:snapToGrid w:val="0"/>
        <w:spacing w:line="420" w:lineRule="exact"/>
        <w:ind w:firstLine="420" w:firstLineChars="200"/>
        <w:jc w:val="left"/>
        <w:rPr>
          <w:rFonts w:ascii="微软雅黑" w:hAnsi="微软雅黑" w:eastAsia="微软雅黑" w:cs="宋体"/>
          <w:szCs w:val="21"/>
        </w:rPr>
      </w:pPr>
    </w:p>
    <w:p>
      <w:pPr>
        <w:snapToGrid w:val="0"/>
        <w:spacing w:line="400" w:lineRule="exact"/>
        <w:ind w:firstLine="420" w:firstLineChars="200"/>
        <w:jc w:val="left"/>
        <w:rPr>
          <w:rFonts w:ascii="微软雅黑" w:hAnsi="微软雅黑" w:eastAsia="微软雅黑" w:cs="宋体"/>
          <w:szCs w:val="21"/>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BAAE5"/>
    <w:multiLevelType w:val="singleLevel"/>
    <w:tmpl w:val="9AABAAE5"/>
    <w:lvl w:ilvl="0" w:tentative="0">
      <w:start w:val="1"/>
      <w:numFmt w:val="decimal"/>
      <w:suff w:val="nothing"/>
      <w:lvlText w:val="%1、"/>
      <w:lvlJc w:val="left"/>
    </w:lvl>
  </w:abstractNum>
  <w:abstractNum w:abstractNumId="1">
    <w:nsid w:val="53B80D76"/>
    <w:multiLevelType w:val="singleLevel"/>
    <w:tmpl w:val="53B80D76"/>
    <w:lvl w:ilvl="0" w:tentative="0">
      <w:start w:val="1"/>
      <w:numFmt w:val="decimal"/>
      <w:lvlText w:val="%1."/>
      <w:lvlJc w:val="left"/>
      <w:pPr>
        <w:tabs>
          <w:tab w:val="left" w:pos="312"/>
        </w:tabs>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90471"/>
    <w:rsid w:val="2C49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2019-04-28T03:57:00Z</dcterms:created>
  <dc:creator>Administrator</dc:creator>
  <cp:lastModifiedBy>Administrator</cp:lastModifiedBy>
  <dcterms:modified xsi:type="dcterms:W3CDTF">2019-04-28T03:57:31Z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