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4F" w:rsidRPr="007E5400" w:rsidRDefault="00E2404F" w:rsidP="00E2404F">
      <w:pPr>
        <w:pStyle w:val="1"/>
        <w:shd w:val="clear" w:color="auto" w:fill="FFFFFF"/>
        <w:snapToGrid w:val="0"/>
        <w:spacing w:line="360" w:lineRule="auto"/>
        <w:jc w:val="center"/>
        <w:rPr>
          <w:rFonts w:ascii="仿宋_GB2312" w:eastAsia="仿宋_GB2312"/>
          <w:bCs w:val="0"/>
          <w:sz w:val="28"/>
          <w:szCs w:val="28"/>
        </w:rPr>
      </w:pPr>
      <w:r w:rsidRPr="007E5400">
        <w:rPr>
          <w:rFonts w:ascii="仿宋_GB2312" w:eastAsia="仿宋_GB2312" w:hint="eastAsia"/>
          <w:bCs w:val="0"/>
          <w:sz w:val="28"/>
          <w:szCs w:val="28"/>
        </w:rPr>
        <w:t>《关于企业国有产权转让有关事项的通知》</w:t>
      </w:r>
    </w:p>
    <w:p w:rsidR="00E2404F" w:rsidRPr="007E5400" w:rsidRDefault="00E2404F" w:rsidP="00E2404F">
      <w:pPr>
        <w:pStyle w:val="1"/>
        <w:shd w:val="clear" w:color="auto" w:fill="FFFFFF"/>
        <w:snapToGrid w:val="0"/>
        <w:spacing w:line="360" w:lineRule="auto"/>
        <w:jc w:val="center"/>
        <w:rPr>
          <w:rFonts w:ascii="仿宋_GB2312" w:eastAsia="仿宋_GB2312"/>
          <w:b w:val="0"/>
          <w:bCs w:val="0"/>
          <w:sz w:val="28"/>
          <w:szCs w:val="28"/>
        </w:rPr>
      </w:pPr>
      <w:r w:rsidRPr="007E5400">
        <w:rPr>
          <w:rFonts w:ascii="仿宋_GB2312" w:eastAsia="仿宋_GB2312" w:hint="eastAsia"/>
          <w:b w:val="0"/>
          <w:bCs w:val="0"/>
          <w:sz w:val="28"/>
          <w:szCs w:val="28"/>
        </w:rPr>
        <w:t>(国资发产权[2006]306号)</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各省、自治区、直辖市及计划单列市、新疆生产建设兵团国资委，财政厅（局），各中央企业：</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企业国有产权转让管理暂行办法》（国资委、财政部令第3号，以下简称《办法》）颁布以来，企业国有产权转让得到了进一步规范，市场配置资源的基础性作用在国有经济布局和结构调整中日渐加强，但在具体实施工作中还有一些事项需要进一步明确。经研究，现通知如下：</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一、关于省级以上国资监管机构对协议转让方式的批准</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企业国有产权转让应不断提高进场交易比例，严格控制场外协议转让。对于国民经济关键行业、领域的结构调整中对受让方有特殊要求，或者所出资企业（本通知所称所出资企业系指各级国有资产监督管理机构履行出资人职责的企业）内部资产重组中确需采取直接协议转让的，相关批准机构要进行认真审核和监控。</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（一）允许协议转让的范围</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1.在国有经济结构调整中，拟直接采取协议方式转让国有产权的，应当符合国家产业政策以及国有经济布局和结构调整的总体规划。受让方的受让行为不得违反国家经济安全等方面的限制性或禁止性规定，且在促进企业技术进步、产业升级等方面具有明显优势。标的企业属于国民经济关键行业、领域的，在协议转让企业部分国有产权后，仍应保持国有绝对控股地位。</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lastRenderedPageBreak/>
        <w:t xml:space="preserve">　　2.在所出资企业内部的资产重组中，拟直接采取协议方式转让国有产权的，转让方和受让方应为所出资企业或其全资、绝对控股企业。</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（二）所出资企业协议转让事项的批准权限，按照转让方的隶属关系，中央企业由国务院国资委批准，地方企业由省级国资监管机构批准。相关批准机构不得自行扩大协议转让范围，不得下放或分解批准权限。</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（三）协议转让项目的资产评估报告由该协议转让的批准机构核准或备案，协议转让项目的转让价格不得低于经核准或备案的资产评估结果。</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（四）相关批准机构应当在批准文件中明确协议转让事项执行的有效时限，并建立对批准协议转让事项的跟踪、报告制度。各省级国资监管机构应当将协议转让的批准和实施结果报告国务院国资委。</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二、关于外商受让企业国有产权</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在企业国有产权转让中，涉及受让方为外国的企业和其他经济组织或者个人的（以下统称外商），应当按以下规定办理：</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（一）向外商转让企业国有产权应在产权交易市场中公开进行。特殊情况下，确需采取协议方式转让的，应符合《办法》及本通知中关于批准协议转让的相关规定。</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（二）转让方在提出受让条件时，应对照《外商投资产业指导目录》及相关规定，对国家对外商受让标的企业产权有限制性或禁止性规定的，应在产权转让公告中予以提示。</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lastRenderedPageBreak/>
        <w:t xml:space="preserve">　　（三）通过产权交易市场确定外商为受让主体的，由转让方按照国家有关管理规定报政府相关职能部门审核批准。</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香港特别行政区、澳门特别行政区和台湾地区的投资者受让企业国有产权，参照以上规定办理。</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三、关于企业国有产权受让条件的审核管理</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广泛征集受让方是落实企业国有产权进场交易制度的关键环节，转让方、相关批准机构和产权交易机构要进一步加强受让条件的审核管理工作。</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（一）转让方在制订企业国有产权转让方案时，应当根据转让标的企业的实际情况，明确提出对受让方的受让条件要求。</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（二）对受让条件中表述不明确或者有违反公平竞争内容的，产权交易机构应及时向转让方提出修改建议，或要求转让方对受让条件的执行标准作出书面解释和具体说明。</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（三）受让条件及其执行标准的书面解释和具体说明经相关批准机构审核后，由产权交易机构在产权转让公告中一并公布。未经公布的受让条件不得作为确认或否定意向受让方资格的依据。</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四）在产权转让公告中公布的受让条件，一经发布不得擅自变更。在产权交易机构尚未收到正式受让意向申请之前，确需变更受让条件的，应经产权转让相关批准机构批准后，在原信息发布渠道予以公告，公告期重新计算。</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四、关于受让资格的审核确认</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lastRenderedPageBreak/>
        <w:t xml:space="preserve">　　产权交易机构按照公布的受让条件提出对受让方资格的审核意见，并在征求转让方意见后，最终确认意向受让人资格。</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（一）产权交易机构应当将正式表达受让意向的法人、自然人全部纳入登记管理范围，严格按照公布的受让条件进行资格审核后，提出具备受让资格的意向受让人名单。</w:t>
      </w:r>
    </w:p>
    <w:p w:rsidR="00E2404F" w:rsidRPr="007E5400" w:rsidRDefault="00E2404F" w:rsidP="00E2404F">
      <w:pPr>
        <w:pStyle w:val="a3"/>
        <w:snapToGrid w:val="0"/>
        <w:spacing w:line="360" w:lineRule="auto"/>
        <w:jc w:val="both"/>
        <w:rPr>
          <w:rFonts w:ascii="仿宋_GB2312" w:eastAsia="仿宋_GB2312" w:hAnsi="Verdana"/>
          <w:sz w:val="28"/>
          <w:szCs w:val="28"/>
        </w:rPr>
      </w:pPr>
      <w:r w:rsidRPr="007E5400">
        <w:rPr>
          <w:rFonts w:ascii="仿宋_GB2312" w:eastAsia="仿宋_GB2312" w:hAnsi="Verdana" w:hint="eastAsia"/>
          <w:sz w:val="28"/>
          <w:szCs w:val="28"/>
        </w:rPr>
        <w:t xml:space="preserve">　　（二）产权交易机构和转让方对意向受让 </w:t>
      </w:r>
      <w:r w:rsidRPr="007E5400">
        <w:rPr>
          <w:rFonts w:ascii="仿宋_GB2312" w:eastAsia="仿宋_GB2312" w:hint="eastAsia"/>
          <w:sz w:val="28"/>
          <w:szCs w:val="28"/>
        </w:rPr>
        <w:t xml:space="preserve">人是否符合公告条件产生分歧时，产权交易机构可就有关分歧事项书面征求政府有关职能部门（机构）意见，也可通过产权交易争端协调机制，对分歧事项进行协调。 </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（三）对意向受让人资格审核确认完成后，产权交易机构应当及时将审核结果以书面形式告知相关各方。</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四）当登记的意向受让人没有响应产权转让公告中受让条件的全部要求，或提出带有附加条件的受让要求时，产权交易机构应当及时以书面形式对其进行提示，在规定的公告期限内该意向受让人没有作出调整、纠正的，应取消其受让资格。</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五、关于企业国有产权转让价格</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按照《办法》的规定，企业国有产权转让价格应当以资产评估结果为参考依据，在产权交易市场中公开竞价形成，产权交易机构应按照有利于竞争的原则积极探索新的竞价交易方式。</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（一）转让企业国有产权的首次挂牌价格不得低于经核准或备案的资产评估结果。经公开征集没有产生意向受让方的，转让方可以根据标的企业情况确定新的挂牌价格并重新公告；如拟确定新的挂牌价</w:t>
      </w:r>
      <w:r w:rsidRPr="007E5400">
        <w:rPr>
          <w:rFonts w:ascii="仿宋_GB2312" w:eastAsia="仿宋_GB2312" w:hAnsi="宋体" w:cs="宋体" w:hint="eastAsia"/>
          <w:kern w:val="0"/>
          <w:sz w:val="28"/>
          <w:szCs w:val="28"/>
        </w:rPr>
        <w:lastRenderedPageBreak/>
        <w:t>格低于资产评估结果的90%，应当获得相关产权转让批准机构书面同意。</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（二）对经公开征集只产生一个意向受让方而采取协议转让的，转让价格应按本次挂牌价格确定。</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（三）企业国有产权转让中涉及的职工安置、社会保险等有关费用，不得在评估作价之前从拟转让的国有净资产中先行扣除，也不得从转让价款中进行抵扣。</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（四）在产权交易市场中公开形成的企业国有产权转让价格，不得以任何付款方式为条件进行打折、优惠。</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六、关于各级财政部门在企业国有产权转让中的管理工作</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各级财政部门应当认真做好有关企业国有产权转让的监督检查以及标的企业财政政策清理等工作，并按以下规定进行审核或者审批：</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（一）按照《办法》第26条审核企业国有产权转让时，重点审核涉及《办法》第28条、29条规定的事项是否符合国家有关企业财务管理的政策规定。</w:t>
      </w:r>
    </w:p>
    <w:p w:rsidR="00E2404F" w:rsidRPr="007E5400" w:rsidRDefault="00E2404F" w:rsidP="00E2404F">
      <w:pPr>
        <w:widowControl/>
        <w:snapToGrid w:val="0"/>
        <w:spacing w:before="100" w:beforeAutospacing="1" w:after="100" w:afterAutospacing="1" w:line="360" w:lineRule="auto"/>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（二）按照《办法》第37条的规定，政企尚未分开单位以及其他单位所持有的企业国有产权转让，由政企尚未分开单位以及其他单位审核后，报同级财政部门批准。</w:t>
      </w:r>
    </w:p>
    <w:p w:rsidR="00E2404F" w:rsidRPr="007E5400" w:rsidRDefault="00E2404F" w:rsidP="00E2404F">
      <w:pPr>
        <w:widowControl/>
        <w:snapToGrid w:val="0"/>
        <w:spacing w:before="100" w:beforeAutospacing="1" w:after="100" w:afterAutospacing="1" w:line="360" w:lineRule="auto"/>
        <w:jc w:val="right"/>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 xml:space="preserve">　　　　　　　　　　　　　</w:t>
      </w:r>
    </w:p>
    <w:p w:rsidR="009D60DF" w:rsidRPr="007E5400" w:rsidRDefault="00E2404F" w:rsidP="009D60DF">
      <w:pPr>
        <w:jc w:val="right"/>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t>国务院国有资产监督管理委员会</w:t>
      </w:r>
    </w:p>
    <w:p w:rsidR="009D60DF" w:rsidRPr="007E5400" w:rsidRDefault="00E2404F" w:rsidP="009D60DF">
      <w:pPr>
        <w:jc w:val="right"/>
        <w:rPr>
          <w:rFonts w:ascii="仿宋_GB2312" w:eastAsia="仿宋_GB2312" w:hAnsi="宋体" w:cs="宋体"/>
          <w:kern w:val="0"/>
          <w:sz w:val="28"/>
          <w:szCs w:val="28"/>
        </w:rPr>
      </w:pPr>
      <w:r w:rsidRPr="007E5400">
        <w:rPr>
          <w:rFonts w:ascii="仿宋_GB2312" w:eastAsia="仿宋_GB2312" w:hAnsi="宋体" w:cs="宋体" w:hint="eastAsia"/>
          <w:kern w:val="0"/>
          <w:sz w:val="28"/>
          <w:szCs w:val="28"/>
        </w:rPr>
        <w:lastRenderedPageBreak/>
        <w:t>财政部</w:t>
      </w:r>
      <w:r w:rsidR="009D60DF" w:rsidRPr="007E5400">
        <w:rPr>
          <w:rFonts w:ascii="仿宋_GB2312" w:eastAsia="仿宋_GB2312" w:hAnsi="宋体" w:cs="宋体" w:hint="eastAsia"/>
          <w:kern w:val="0"/>
          <w:sz w:val="28"/>
          <w:szCs w:val="28"/>
        </w:rPr>
        <w:t xml:space="preserve">　</w:t>
      </w:r>
      <w:r w:rsidRPr="007E5400">
        <w:rPr>
          <w:rFonts w:ascii="仿宋_GB2312" w:eastAsia="仿宋_GB2312" w:hAnsi="宋体" w:cs="宋体" w:hint="eastAsia"/>
          <w:kern w:val="0"/>
          <w:sz w:val="28"/>
          <w:szCs w:val="28"/>
        </w:rPr>
        <w:t>二</w:t>
      </w:r>
      <w:r w:rsidRPr="007E5400">
        <w:rPr>
          <w:rFonts w:ascii="仿宋_GB2312" w:hAnsi="宋体" w:cs="宋体" w:hint="eastAsia"/>
          <w:kern w:val="0"/>
          <w:sz w:val="28"/>
          <w:szCs w:val="28"/>
        </w:rPr>
        <w:t>〇〇</w:t>
      </w:r>
      <w:r w:rsidRPr="007E5400">
        <w:rPr>
          <w:rFonts w:ascii="仿宋_GB2312" w:eastAsia="仿宋_GB2312" w:hAnsi="宋体" w:cs="宋体" w:hint="eastAsia"/>
          <w:kern w:val="0"/>
          <w:sz w:val="28"/>
          <w:szCs w:val="28"/>
        </w:rPr>
        <w:t>六年十二月三十一日</w:t>
      </w:r>
    </w:p>
    <w:sectPr w:rsidR="009D60DF" w:rsidRPr="007E5400"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B8" w:rsidRDefault="00E31AB8" w:rsidP="009D60DF">
      <w:r>
        <w:separator/>
      </w:r>
    </w:p>
  </w:endnote>
  <w:endnote w:type="continuationSeparator" w:id="1">
    <w:p w:rsidR="00E31AB8" w:rsidRDefault="00E31AB8" w:rsidP="009D6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B8" w:rsidRDefault="00E31AB8" w:rsidP="009D60DF">
      <w:r>
        <w:separator/>
      </w:r>
    </w:p>
  </w:footnote>
  <w:footnote w:type="continuationSeparator" w:id="1">
    <w:p w:rsidR="00E31AB8" w:rsidRDefault="00E31AB8" w:rsidP="009D6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04F"/>
    <w:rsid w:val="001547D3"/>
    <w:rsid w:val="007E47F3"/>
    <w:rsid w:val="007E5400"/>
    <w:rsid w:val="009D60DF"/>
    <w:rsid w:val="00A8422D"/>
    <w:rsid w:val="00B2723E"/>
    <w:rsid w:val="00E2404F"/>
    <w:rsid w:val="00E31AB8"/>
    <w:rsid w:val="00EA4606"/>
    <w:rsid w:val="00FB5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4F"/>
    <w:pPr>
      <w:widowControl w:val="0"/>
      <w:jc w:val="both"/>
    </w:pPr>
    <w:rPr>
      <w:rFonts w:ascii="Times New Roman" w:eastAsia="宋体" w:hAnsi="Times New Roman" w:cs="Times New Roman"/>
      <w:szCs w:val="24"/>
    </w:rPr>
  </w:style>
  <w:style w:type="paragraph" w:styleId="1">
    <w:name w:val="heading 1"/>
    <w:basedOn w:val="a"/>
    <w:link w:val="1Char"/>
    <w:qFormat/>
    <w:rsid w:val="00E2404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404F"/>
    <w:rPr>
      <w:rFonts w:ascii="宋体" w:eastAsia="宋体" w:hAnsi="宋体" w:cs="宋体"/>
      <w:b/>
      <w:bCs/>
      <w:kern w:val="36"/>
      <w:sz w:val="48"/>
      <w:szCs w:val="48"/>
    </w:rPr>
  </w:style>
  <w:style w:type="paragraph" w:styleId="a3">
    <w:name w:val="Normal (Web)"/>
    <w:basedOn w:val="a"/>
    <w:rsid w:val="00E2404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9D6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60DF"/>
    <w:rPr>
      <w:rFonts w:ascii="Times New Roman" w:eastAsia="宋体" w:hAnsi="Times New Roman" w:cs="Times New Roman"/>
      <w:sz w:val="18"/>
      <w:szCs w:val="18"/>
    </w:rPr>
  </w:style>
  <w:style w:type="paragraph" w:styleId="a5">
    <w:name w:val="footer"/>
    <w:basedOn w:val="a"/>
    <w:link w:val="Char0"/>
    <w:uiPriority w:val="99"/>
    <w:semiHidden/>
    <w:unhideWhenUsed/>
    <w:rsid w:val="009D60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D60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400</Words>
  <Characters>2281</Characters>
  <Application>Microsoft Office Word</Application>
  <DocSecurity>0</DocSecurity>
  <Lines>19</Lines>
  <Paragraphs>5</Paragraphs>
  <ScaleCrop>false</ScaleCrop>
  <Company>微软中国</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2014-03-13T08:10:00Z</dcterms:created>
  <dcterms:modified xsi:type="dcterms:W3CDTF">2014-03-14T02:58:00Z</dcterms:modified>
</cp:coreProperties>
</file>